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0F" w:rsidRPr="003B2EED" w:rsidRDefault="0074140F" w:rsidP="0074140F">
      <w:pPr>
        <w:pStyle w:val="Default"/>
        <w:jc w:val="center"/>
        <w:rPr>
          <w:sz w:val="32"/>
          <w:szCs w:val="32"/>
        </w:rPr>
      </w:pPr>
      <w:r w:rsidRPr="003B2EED">
        <w:rPr>
          <w:rFonts w:eastAsia="Times New Roman"/>
          <w:b/>
          <w:bCs/>
          <w:noProof/>
          <w:sz w:val="32"/>
          <w:szCs w:val="32"/>
        </w:rPr>
        <w:drawing>
          <wp:inline distT="0" distB="0" distL="0" distR="0" wp14:anchorId="4D263508" wp14:editId="4DCD4055">
            <wp:extent cx="1165014" cy="1040773"/>
            <wp:effectExtent l="0" t="0" r="0" b="6985"/>
            <wp:docPr id="3" name="Picture 6"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tofarms"/>
                    <pic:cNvPicPr>
                      <a:picLocks noChangeAspect="1" noChangeArrowheads="1"/>
                    </pic:cNvPicPr>
                  </pic:nvPicPr>
                  <pic:blipFill>
                    <a:blip r:embed="rId9" cstate="print"/>
                    <a:srcRect/>
                    <a:stretch>
                      <a:fillRect/>
                    </a:stretch>
                  </pic:blipFill>
                  <pic:spPr bwMode="auto">
                    <a:xfrm>
                      <a:off x="0" y="0"/>
                      <a:ext cx="1170988" cy="1046110"/>
                    </a:xfrm>
                    <a:prstGeom prst="rect">
                      <a:avLst/>
                    </a:prstGeom>
                    <a:noFill/>
                    <a:ln w="9525">
                      <a:noFill/>
                      <a:miter lim="800000"/>
                      <a:headEnd/>
                      <a:tailEnd/>
                    </a:ln>
                  </pic:spPr>
                </pic:pic>
              </a:graphicData>
            </a:graphic>
          </wp:inline>
        </w:drawing>
      </w:r>
    </w:p>
    <w:p w:rsidR="0074140F" w:rsidRPr="003B2EED" w:rsidRDefault="0074140F" w:rsidP="0074140F">
      <w:pPr>
        <w:pStyle w:val="Default"/>
        <w:rPr>
          <w:b/>
          <w:bCs/>
          <w:sz w:val="32"/>
          <w:szCs w:val="32"/>
        </w:rPr>
      </w:pPr>
      <w:r w:rsidRPr="003B2EED">
        <w:rPr>
          <w:sz w:val="32"/>
          <w:szCs w:val="32"/>
        </w:rPr>
        <w:t xml:space="preserve"> </w:t>
      </w:r>
      <w:r w:rsidRPr="003B2EED">
        <w:rPr>
          <w:sz w:val="32"/>
          <w:szCs w:val="32"/>
        </w:rPr>
        <w:tab/>
      </w:r>
      <w:r w:rsidRPr="003B2EED">
        <w:rPr>
          <w:sz w:val="32"/>
          <w:szCs w:val="32"/>
        </w:rPr>
        <w:tab/>
      </w:r>
      <w:r w:rsidRPr="003B2EED">
        <w:rPr>
          <w:b/>
          <w:bCs/>
          <w:sz w:val="32"/>
          <w:szCs w:val="32"/>
        </w:rPr>
        <w:t xml:space="preserve">Government of the Republic of Trinidad and Tobago </w:t>
      </w:r>
    </w:p>
    <w:p w:rsidR="005B350C" w:rsidRPr="003B2EED" w:rsidRDefault="005B350C" w:rsidP="0074140F">
      <w:pPr>
        <w:pStyle w:val="Default"/>
        <w:rPr>
          <w:sz w:val="32"/>
          <w:szCs w:val="32"/>
        </w:rPr>
      </w:pPr>
    </w:p>
    <w:p w:rsidR="0074140F" w:rsidRPr="003B2EED" w:rsidRDefault="0074140F" w:rsidP="0074140F">
      <w:pPr>
        <w:pBdr>
          <w:top w:val="single" w:sz="4" w:space="1" w:color="auto"/>
          <w:left w:val="single" w:sz="4" w:space="0" w:color="auto"/>
          <w:bottom w:val="single" w:sz="4" w:space="1" w:color="auto"/>
          <w:right w:val="single" w:sz="4" w:space="4" w:color="auto"/>
        </w:pBdr>
        <w:tabs>
          <w:tab w:val="left" w:pos="1605"/>
          <w:tab w:val="center" w:pos="4680"/>
        </w:tabs>
        <w:spacing w:line="480" w:lineRule="auto"/>
        <w:rPr>
          <w:rFonts w:ascii="Times New Roman" w:hAnsi="Times New Roman" w:cs="Times New Roman"/>
          <w:b/>
          <w:sz w:val="32"/>
          <w:szCs w:val="32"/>
        </w:rPr>
      </w:pPr>
      <w:r w:rsidRPr="003B2EED">
        <w:rPr>
          <w:rFonts w:ascii="Times New Roman" w:hAnsi="Times New Roman" w:cs="Times New Roman"/>
          <w:b/>
          <w:sz w:val="32"/>
          <w:szCs w:val="32"/>
        </w:rPr>
        <w:tab/>
      </w:r>
      <w:r w:rsidRPr="003B2EED">
        <w:rPr>
          <w:rFonts w:ascii="Times New Roman" w:hAnsi="Times New Roman" w:cs="Times New Roman"/>
          <w:b/>
          <w:sz w:val="32"/>
          <w:szCs w:val="32"/>
        </w:rPr>
        <w:tab/>
      </w:r>
    </w:p>
    <w:p w:rsidR="0074140F" w:rsidRPr="003B2EED" w:rsidRDefault="0074140F" w:rsidP="0074140F">
      <w:pPr>
        <w:pBdr>
          <w:top w:val="single" w:sz="4" w:space="1" w:color="auto"/>
          <w:left w:val="single" w:sz="4" w:space="0" w:color="auto"/>
          <w:bottom w:val="single" w:sz="4" w:space="1" w:color="auto"/>
          <w:right w:val="single" w:sz="4" w:space="4" w:color="auto"/>
        </w:pBdr>
        <w:tabs>
          <w:tab w:val="left" w:pos="1605"/>
          <w:tab w:val="center" w:pos="4680"/>
        </w:tabs>
        <w:spacing w:line="480" w:lineRule="auto"/>
        <w:jc w:val="center"/>
        <w:rPr>
          <w:rFonts w:ascii="Times New Roman" w:hAnsi="Times New Roman" w:cs="Times New Roman"/>
          <w:b/>
          <w:sz w:val="32"/>
          <w:szCs w:val="32"/>
        </w:rPr>
      </w:pPr>
      <w:r w:rsidRPr="003B2EED">
        <w:rPr>
          <w:rFonts w:ascii="Times New Roman" w:hAnsi="Times New Roman" w:cs="Times New Roman"/>
          <w:b/>
          <w:sz w:val="32"/>
          <w:szCs w:val="32"/>
        </w:rPr>
        <w:t>ADDRESS</w:t>
      </w:r>
    </w:p>
    <w:p w:rsidR="0074140F" w:rsidRPr="003B2EED" w:rsidRDefault="0074140F" w:rsidP="0074140F">
      <w:pPr>
        <w:pBdr>
          <w:top w:val="single" w:sz="4" w:space="1" w:color="auto"/>
          <w:left w:val="single" w:sz="4" w:space="0" w:color="auto"/>
          <w:bottom w:val="single" w:sz="4" w:space="1" w:color="auto"/>
          <w:right w:val="single" w:sz="4" w:space="4" w:color="auto"/>
        </w:pBdr>
        <w:spacing w:line="480" w:lineRule="auto"/>
        <w:jc w:val="center"/>
        <w:rPr>
          <w:rFonts w:ascii="Times New Roman" w:hAnsi="Times New Roman" w:cs="Times New Roman"/>
          <w:b/>
          <w:sz w:val="32"/>
          <w:szCs w:val="32"/>
        </w:rPr>
      </w:pPr>
      <w:r w:rsidRPr="003B2EED">
        <w:rPr>
          <w:rFonts w:ascii="Times New Roman" w:hAnsi="Times New Roman" w:cs="Times New Roman"/>
          <w:b/>
          <w:sz w:val="32"/>
          <w:szCs w:val="32"/>
        </w:rPr>
        <w:t>BY</w:t>
      </w:r>
    </w:p>
    <w:p w:rsidR="0074140F" w:rsidRPr="003B2EED" w:rsidRDefault="00AD41A4" w:rsidP="0074140F">
      <w:pPr>
        <w:pBdr>
          <w:top w:val="single" w:sz="4" w:space="1" w:color="auto"/>
          <w:left w:val="single" w:sz="4" w:space="0" w:color="auto"/>
          <w:bottom w:val="single" w:sz="4" w:space="1" w:color="auto"/>
          <w:right w:val="single" w:sz="4" w:space="4" w:color="auto"/>
        </w:pBdr>
        <w:spacing w:line="480" w:lineRule="auto"/>
        <w:jc w:val="center"/>
        <w:rPr>
          <w:rFonts w:ascii="Times New Roman" w:hAnsi="Times New Roman" w:cs="Times New Roman"/>
          <w:b/>
          <w:sz w:val="32"/>
          <w:szCs w:val="32"/>
        </w:rPr>
      </w:pPr>
      <w:r w:rsidRPr="003B2EED">
        <w:rPr>
          <w:rFonts w:ascii="Times New Roman" w:hAnsi="Times New Roman" w:cs="Times New Roman"/>
          <w:b/>
          <w:sz w:val="32"/>
          <w:szCs w:val="32"/>
        </w:rPr>
        <w:t>DR. KEITH ROWLEY</w:t>
      </w:r>
    </w:p>
    <w:p w:rsidR="006429B1" w:rsidRPr="003B2EED" w:rsidRDefault="006429B1" w:rsidP="0074140F">
      <w:pPr>
        <w:pBdr>
          <w:top w:val="single" w:sz="4" w:space="1" w:color="auto"/>
          <w:left w:val="single" w:sz="4" w:space="0" w:color="auto"/>
          <w:bottom w:val="single" w:sz="4" w:space="1" w:color="auto"/>
          <w:right w:val="single" w:sz="4" w:space="4" w:color="auto"/>
        </w:pBdr>
        <w:spacing w:line="480" w:lineRule="auto"/>
        <w:jc w:val="center"/>
        <w:rPr>
          <w:rFonts w:ascii="Times New Roman" w:hAnsi="Times New Roman" w:cs="Times New Roman"/>
          <w:b/>
          <w:sz w:val="32"/>
          <w:szCs w:val="32"/>
        </w:rPr>
      </w:pPr>
      <w:r w:rsidRPr="003B2EED">
        <w:rPr>
          <w:rFonts w:ascii="Times New Roman" w:hAnsi="Times New Roman" w:cs="Times New Roman"/>
          <w:b/>
          <w:sz w:val="32"/>
          <w:szCs w:val="32"/>
        </w:rPr>
        <w:t>PRIME MINISTER OF TRINIDAD AND TOBAGO</w:t>
      </w:r>
    </w:p>
    <w:p w:rsidR="0074140F" w:rsidRPr="003B2EED" w:rsidRDefault="0074140F" w:rsidP="0074140F">
      <w:pPr>
        <w:pBdr>
          <w:top w:val="single" w:sz="4" w:space="1" w:color="auto"/>
          <w:left w:val="single" w:sz="4" w:space="0" w:color="auto"/>
          <w:bottom w:val="single" w:sz="4" w:space="1" w:color="auto"/>
          <w:right w:val="single" w:sz="4" w:space="4" w:color="auto"/>
        </w:pBdr>
        <w:spacing w:line="480" w:lineRule="auto"/>
        <w:jc w:val="center"/>
        <w:rPr>
          <w:rFonts w:ascii="Times New Roman" w:hAnsi="Times New Roman" w:cs="Times New Roman"/>
          <w:b/>
          <w:sz w:val="32"/>
          <w:szCs w:val="32"/>
        </w:rPr>
      </w:pPr>
      <w:r w:rsidRPr="003B2EED">
        <w:rPr>
          <w:rFonts w:ascii="Times New Roman" w:hAnsi="Times New Roman" w:cs="Times New Roman"/>
          <w:b/>
          <w:sz w:val="32"/>
          <w:szCs w:val="32"/>
        </w:rPr>
        <w:t>AT</w:t>
      </w:r>
    </w:p>
    <w:p w:rsidR="0074140F" w:rsidRPr="003B2EED" w:rsidRDefault="0074140F" w:rsidP="006429B1">
      <w:pPr>
        <w:pStyle w:val="NoSpacing"/>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32"/>
          <w:szCs w:val="32"/>
        </w:rPr>
      </w:pPr>
      <w:r w:rsidRPr="003B2EED">
        <w:rPr>
          <w:rFonts w:ascii="Times New Roman" w:hAnsi="Times New Roman" w:cs="Times New Roman"/>
          <w:b/>
          <w:sz w:val="32"/>
          <w:szCs w:val="32"/>
        </w:rPr>
        <w:t xml:space="preserve">THE </w:t>
      </w:r>
      <w:r w:rsidR="006429B1" w:rsidRPr="003B2EED">
        <w:rPr>
          <w:rFonts w:ascii="Times New Roman" w:hAnsi="Times New Roman" w:cs="Times New Roman"/>
          <w:b/>
          <w:sz w:val="32"/>
          <w:szCs w:val="32"/>
        </w:rPr>
        <w:t>EXECUTION OF JOINT OPERATING AND FARMOUT AGREEMENTS</w:t>
      </w:r>
    </w:p>
    <w:p w:rsidR="0074140F" w:rsidRPr="003B2EED" w:rsidRDefault="0074140F" w:rsidP="0074140F">
      <w:pPr>
        <w:pStyle w:val="NoSpacing"/>
        <w:pBdr>
          <w:top w:val="single" w:sz="4" w:space="1" w:color="auto"/>
          <w:left w:val="single" w:sz="4" w:space="0" w:color="auto"/>
          <w:bottom w:val="single" w:sz="4" w:space="1" w:color="auto"/>
          <w:right w:val="single" w:sz="4" w:space="4" w:color="auto"/>
        </w:pBdr>
        <w:rPr>
          <w:rFonts w:ascii="Times New Roman" w:hAnsi="Times New Roman" w:cs="Times New Roman"/>
          <w:b/>
          <w:sz w:val="32"/>
          <w:szCs w:val="32"/>
        </w:rPr>
      </w:pPr>
    </w:p>
    <w:p w:rsidR="0074140F" w:rsidRPr="003B2EED" w:rsidRDefault="006429B1" w:rsidP="006429B1">
      <w:pPr>
        <w:pStyle w:val="NoSpacing"/>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32"/>
          <w:szCs w:val="32"/>
        </w:rPr>
      </w:pPr>
      <w:r w:rsidRPr="003B2EED">
        <w:rPr>
          <w:rFonts w:ascii="Times New Roman" w:hAnsi="Times New Roman" w:cs="Times New Roman"/>
          <w:b/>
          <w:sz w:val="32"/>
          <w:szCs w:val="32"/>
        </w:rPr>
        <w:t xml:space="preserve">BETWEEN </w:t>
      </w:r>
    </w:p>
    <w:p w:rsidR="006429B1" w:rsidRPr="003B2EED" w:rsidRDefault="006429B1" w:rsidP="006429B1">
      <w:pPr>
        <w:pStyle w:val="NoSpacing"/>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32"/>
          <w:szCs w:val="32"/>
        </w:rPr>
      </w:pPr>
    </w:p>
    <w:p w:rsidR="006429B1" w:rsidRPr="003B2EED" w:rsidRDefault="006429B1" w:rsidP="006429B1">
      <w:pPr>
        <w:pStyle w:val="NoSpacing"/>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32"/>
          <w:szCs w:val="32"/>
        </w:rPr>
      </w:pPr>
      <w:r w:rsidRPr="003B2EED">
        <w:rPr>
          <w:rFonts w:ascii="Times New Roman" w:hAnsi="Times New Roman" w:cs="Times New Roman"/>
          <w:b/>
          <w:sz w:val="32"/>
          <w:szCs w:val="32"/>
        </w:rPr>
        <w:t>HERITAGE PETROLEUM COMPANY LIMITED AND EOG RESOURCES TRINIDAD LIMITED</w:t>
      </w:r>
    </w:p>
    <w:p w:rsidR="0074140F" w:rsidRPr="003B2EED" w:rsidRDefault="0074140F" w:rsidP="0074140F">
      <w:pPr>
        <w:pBdr>
          <w:top w:val="single" w:sz="4" w:space="1" w:color="auto"/>
          <w:left w:val="single" w:sz="4" w:space="0" w:color="auto"/>
          <w:bottom w:val="single" w:sz="4" w:space="1" w:color="auto"/>
          <w:right w:val="single" w:sz="4" w:space="4" w:color="auto"/>
        </w:pBdr>
        <w:spacing w:line="480" w:lineRule="auto"/>
        <w:jc w:val="center"/>
        <w:rPr>
          <w:rFonts w:ascii="Times New Roman" w:hAnsi="Times New Roman" w:cs="Times New Roman"/>
          <w:b/>
          <w:sz w:val="32"/>
          <w:szCs w:val="32"/>
        </w:rPr>
      </w:pPr>
    </w:p>
    <w:p w:rsidR="0074140F" w:rsidRPr="003B2EED" w:rsidRDefault="0074140F" w:rsidP="0074140F">
      <w:pPr>
        <w:pBdr>
          <w:top w:val="single" w:sz="4" w:space="1" w:color="auto"/>
          <w:left w:val="single" w:sz="4" w:space="0" w:color="auto"/>
          <w:bottom w:val="single" w:sz="4" w:space="1" w:color="auto"/>
          <w:right w:val="single" w:sz="4" w:space="4" w:color="auto"/>
        </w:pBdr>
        <w:spacing w:line="480" w:lineRule="auto"/>
        <w:jc w:val="center"/>
        <w:rPr>
          <w:rFonts w:ascii="Times New Roman" w:hAnsi="Times New Roman" w:cs="Times New Roman"/>
          <w:b/>
          <w:sz w:val="32"/>
          <w:szCs w:val="32"/>
        </w:rPr>
      </w:pPr>
      <w:r w:rsidRPr="003B2EED">
        <w:rPr>
          <w:rFonts w:ascii="Times New Roman" w:hAnsi="Times New Roman" w:cs="Times New Roman"/>
          <w:b/>
          <w:sz w:val="32"/>
          <w:szCs w:val="32"/>
        </w:rPr>
        <w:t>ON</w:t>
      </w:r>
    </w:p>
    <w:p w:rsidR="0074140F" w:rsidRPr="003B2EED" w:rsidRDefault="0074140F" w:rsidP="003B2EED">
      <w:pPr>
        <w:pBdr>
          <w:top w:val="single" w:sz="4" w:space="1" w:color="auto"/>
          <w:left w:val="single" w:sz="4" w:space="0" w:color="auto"/>
          <w:bottom w:val="single" w:sz="4" w:space="1" w:color="auto"/>
          <w:right w:val="single" w:sz="4" w:space="4" w:color="auto"/>
        </w:pBdr>
        <w:spacing w:line="480" w:lineRule="auto"/>
        <w:jc w:val="center"/>
        <w:rPr>
          <w:rFonts w:ascii="Times New Roman" w:hAnsi="Times New Roman" w:cs="Times New Roman"/>
          <w:b/>
          <w:sz w:val="32"/>
          <w:szCs w:val="32"/>
        </w:rPr>
      </w:pPr>
      <w:r w:rsidRPr="003B2EED">
        <w:rPr>
          <w:rFonts w:ascii="Times New Roman" w:hAnsi="Times New Roman" w:cs="Times New Roman"/>
          <w:b/>
          <w:sz w:val="32"/>
          <w:szCs w:val="32"/>
        </w:rPr>
        <w:t xml:space="preserve">March </w:t>
      </w:r>
      <w:r w:rsidR="006429B1" w:rsidRPr="003B2EED">
        <w:rPr>
          <w:rFonts w:ascii="Times New Roman" w:hAnsi="Times New Roman" w:cs="Times New Roman"/>
          <w:b/>
          <w:sz w:val="32"/>
          <w:szCs w:val="32"/>
        </w:rPr>
        <w:t>24</w:t>
      </w:r>
      <w:r w:rsidRPr="003B2EED">
        <w:rPr>
          <w:rFonts w:ascii="Times New Roman" w:hAnsi="Times New Roman" w:cs="Times New Roman"/>
          <w:b/>
          <w:sz w:val="32"/>
          <w:szCs w:val="32"/>
          <w:vertAlign w:val="superscript"/>
        </w:rPr>
        <w:t>th</w:t>
      </w:r>
      <w:r w:rsidRPr="003B2EED">
        <w:rPr>
          <w:rFonts w:ascii="Times New Roman" w:hAnsi="Times New Roman" w:cs="Times New Roman"/>
          <w:b/>
          <w:sz w:val="32"/>
          <w:szCs w:val="32"/>
        </w:rPr>
        <w:t xml:space="preserve"> 2021</w:t>
      </w:r>
    </w:p>
    <w:p w:rsidR="006429B1" w:rsidRPr="003B2EED" w:rsidRDefault="00EB043B" w:rsidP="00EB043B">
      <w:pPr>
        <w:spacing w:line="360" w:lineRule="auto"/>
        <w:rPr>
          <w:rFonts w:ascii="Arial" w:hAnsi="Arial" w:cs="Arial"/>
          <w:b/>
          <w:sz w:val="32"/>
          <w:szCs w:val="32"/>
        </w:rPr>
      </w:pPr>
      <w:r w:rsidRPr="003B2EED">
        <w:rPr>
          <w:rFonts w:ascii="Arial" w:hAnsi="Arial" w:cs="Arial"/>
          <w:b/>
          <w:sz w:val="32"/>
          <w:szCs w:val="32"/>
        </w:rPr>
        <w:lastRenderedPageBreak/>
        <w:t>Salutations</w:t>
      </w:r>
      <w:r w:rsidR="0047435F" w:rsidRPr="003B2EED">
        <w:rPr>
          <w:rFonts w:ascii="Arial" w:hAnsi="Arial" w:cs="Arial"/>
          <w:b/>
          <w:sz w:val="32"/>
          <w:szCs w:val="32"/>
        </w:rPr>
        <w:t>:</w:t>
      </w:r>
    </w:p>
    <w:p w:rsidR="00EB043B" w:rsidRPr="003B2EED" w:rsidRDefault="006429B1" w:rsidP="00EB043B">
      <w:pPr>
        <w:spacing w:line="360" w:lineRule="auto"/>
        <w:rPr>
          <w:rFonts w:ascii="Arial" w:hAnsi="Arial" w:cs="Arial"/>
          <w:sz w:val="32"/>
          <w:szCs w:val="32"/>
        </w:rPr>
      </w:pPr>
      <w:r w:rsidRPr="003B2EED">
        <w:rPr>
          <w:rFonts w:ascii="Arial" w:hAnsi="Arial" w:cs="Arial"/>
          <w:sz w:val="32"/>
          <w:szCs w:val="32"/>
        </w:rPr>
        <w:t>Senator t</w:t>
      </w:r>
      <w:r w:rsidR="00EB043B" w:rsidRPr="003B2EED">
        <w:rPr>
          <w:rFonts w:ascii="Arial" w:hAnsi="Arial" w:cs="Arial"/>
          <w:sz w:val="32"/>
          <w:szCs w:val="32"/>
        </w:rPr>
        <w:t>he Hon</w:t>
      </w:r>
      <w:r w:rsidR="00011BD8" w:rsidRPr="003B2EED">
        <w:rPr>
          <w:rFonts w:ascii="Arial" w:hAnsi="Arial" w:cs="Arial"/>
          <w:sz w:val="32"/>
          <w:szCs w:val="32"/>
        </w:rPr>
        <w:t>,</w:t>
      </w:r>
      <w:r w:rsidR="00EB043B" w:rsidRPr="003B2EED">
        <w:rPr>
          <w:rFonts w:ascii="Arial" w:hAnsi="Arial" w:cs="Arial"/>
          <w:sz w:val="32"/>
          <w:szCs w:val="32"/>
        </w:rPr>
        <w:t xml:space="preserve"> </w:t>
      </w:r>
      <w:r w:rsidRPr="003B2EED">
        <w:rPr>
          <w:rFonts w:ascii="Arial" w:hAnsi="Arial" w:cs="Arial"/>
          <w:sz w:val="32"/>
          <w:szCs w:val="32"/>
        </w:rPr>
        <w:t>Franklin Khan</w:t>
      </w:r>
      <w:r w:rsidR="007D62C2" w:rsidRPr="003B2EED">
        <w:rPr>
          <w:rFonts w:ascii="Arial" w:hAnsi="Arial" w:cs="Arial"/>
          <w:sz w:val="32"/>
          <w:szCs w:val="32"/>
        </w:rPr>
        <w:t>,</w:t>
      </w:r>
      <w:r w:rsidR="00EB043B" w:rsidRPr="003B2EED">
        <w:rPr>
          <w:rFonts w:ascii="Arial" w:hAnsi="Arial" w:cs="Arial"/>
          <w:sz w:val="32"/>
          <w:szCs w:val="32"/>
        </w:rPr>
        <w:t xml:space="preserve"> Minister of </w:t>
      </w:r>
      <w:r w:rsidRPr="003B2EED">
        <w:rPr>
          <w:rFonts w:ascii="Arial" w:hAnsi="Arial" w:cs="Arial"/>
          <w:sz w:val="32"/>
          <w:szCs w:val="32"/>
        </w:rPr>
        <w:t>Energy and Energy Industries;</w:t>
      </w:r>
    </w:p>
    <w:p w:rsidR="00E30DE3" w:rsidRPr="003B2EED" w:rsidRDefault="00E30DE3" w:rsidP="00EB043B">
      <w:pPr>
        <w:spacing w:line="360" w:lineRule="auto"/>
        <w:rPr>
          <w:rFonts w:ascii="Arial" w:hAnsi="Arial" w:cs="Arial"/>
          <w:sz w:val="32"/>
          <w:szCs w:val="32"/>
        </w:rPr>
      </w:pPr>
      <w:r w:rsidRPr="003B2EED">
        <w:rPr>
          <w:rFonts w:ascii="Arial" w:hAnsi="Arial" w:cs="Arial"/>
          <w:sz w:val="32"/>
          <w:szCs w:val="32"/>
        </w:rPr>
        <w:t>Mrs. Penelope Bradshaw-Niles, Permanent Secretary, Ministry of Energy and Energy Industries;</w:t>
      </w:r>
    </w:p>
    <w:p w:rsidR="001A56D7" w:rsidRPr="003B2EED" w:rsidRDefault="001A56D7" w:rsidP="00EB043B">
      <w:pPr>
        <w:spacing w:line="360" w:lineRule="auto"/>
        <w:rPr>
          <w:rFonts w:ascii="Arial" w:hAnsi="Arial" w:cs="Arial"/>
          <w:sz w:val="32"/>
          <w:szCs w:val="32"/>
        </w:rPr>
      </w:pPr>
      <w:r w:rsidRPr="003B2EED">
        <w:rPr>
          <w:rFonts w:ascii="Arial" w:hAnsi="Arial" w:cs="Arial"/>
          <w:sz w:val="32"/>
          <w:szCs w:val="32"/>
        </w:rPr>
        <w:t>Mrs. Sandra Fraser, Deputy Permanent Secretary, Ministry of Energy and Energy Industries;</w:t>
      </w:r>
    </w:p>
    <w:p w:rsidR="00EB043B" w:rsidRPr="003B2EED" w:rsidRDefault="00EB043B" w:rsidP="00EB043B">
      <w:pPr>
        <w:spacing w:line="360" w:lineRule="auto"/>
        <w:rPr>
          <w:rFonts w:ascii="Arial" w:hAnsi="Arial" w:cs="Arial"/>
          <w:sz w:val="32"/>
          <w:szCs w:val="32"/>
        </w:rPr>
      </w:pPr>
      <w:r w:rsidRPr="003B2EED">
        <w:rPr>
          <w:rFonts w:ascii="Arial" w:hAnsi="Arial" w:cs="Arial"/>
          <w:sz w:val="32"/>
          <w:szCs w:val="32"/>
        </w:rPr>
        <w:t>Mr</w:t>
      </w:r>
      <w:r w:rsidR="006429B1" w:rsidRPr="003B2EED">
        <w:rPr>
          <w:rFonts w:ascii="Arial" w:hAnsi="Arial" w:cs="Arial"/>
          <w:sz w:val="32"/>
          <w:szCs w:val="32"/>
        </w:rPr>
        <w:t xml:space="preserve">. Michael </w:t>
      </w:r>
      <w:proofErr w:type="spellStart"/>
      <w:r w:rsidR="006429B1" w:rsidRPr="003B2EED">
        <w:rPr>
          <w:rFonts w:ascii="Arial" w:hAnsi="Arial" w:cs="Arial"/>
          <w:sz w:val="32"/>
          <w:szCs w:val="32"/>
        </w:rPr>
        <w:t>Quamina</w:t>
      </w:r>
      <w:proofErr w:type="spellEnd"/>
      <w:r w:rsidRPr="003B2EED">
        <w:rPr>
          <w:rFonts w:ascii="Arial" w:hAnsi="Arial" w:cs="Arial"/>
          <w:sz w:val="32"/>
          <w:szCs w:val="32"/>
        </w:rPr>
        <w:t>, Chairman</w:t>
      </w:r>
      <w:r w:rsidR="006429B1" w:rsidRPr="003B2EED">
        <w:rPr>
          <w:rFonts w:ascii="Arial" w:hAnsi="Arial" w:cs="Arial"/>
          <w:sz w:val="32"/>
          <w:szCs w:val="32"/>
        </w:rPr>
        <w:t xml:space="preserve"> of the Board of</w:t>
      </w:r>
      <w:r w:rsidRPr="003B2EED">
        <w:rPr>
          <w:rFonts w:ascii="Arial" w:hAnsi="Arial" w:cs="Arial"/>
          <w:sz w:val="32"/>
          <w:szCs w:val="32"/>
        </w:rPr>
        <w:t xml:space="preserve"> </w:t>
      </w:r>
      <w:r w:rsidR="006429B1" w:rsidRPr="003B2EED">
        <w:rPr>
          <w:rFonts w:ascii="Arial" w:hAnsi="Arial" w:cs="Arial"/>
          <w:sz w:val="32"/>
          <w:szCs w:val="32"/>
        </w:rPr>
        <w:t>Heritage Petroleum;</w:t>
      </w:r>
    </w:p>
    <w:p w:rsidR="005B350C" w:rsidRPr="003B2EED" w:rsidRDefault="005B350C" w:rsidP="00EB043B">
      <w:pPr>
        <w:spacing w:line="360" w:lineRule="auto"/>
        <w:rPr>
          <w:rFonts w:ascii="Arial" w:hAnsi="Arial" w:cs="Arial"/>
          <w:sz w:val="32"/>
          <w:szCs w:val="32"/>
        </w:rPr>
      </w:pPr>
      <w:r w:rsidRPr="003B2EED">
        <w:rPr>
          <w:rFonts w:ascii="Arial" w:hAnsi="Arial" w:cs="Arial"/>
          <w:sz w:val="32"/>
          <w:szCs w:val="32"/>
        </w:rPr>
        <w:t>Mr. George Vieira, Managing Director of EOG Resources Trinidad Limited;</w:t>
      </w:r>
    </w:p>
    <w:p w:rsidR="005B350C" w:rsidRPr="003B2EED" w:rsidRDefault="005B350C" w:rsidP="00EB043B">
      <w:pPr>
        <w:spacing w:line="360" w:lineRule="auto"/>
        <w:rPr>
          <w:rFonts w:ascii="Arial" w:hAnsi="Arial" w:cs="Arial"/>
          <w:sz w:val="32"/>
          <w:szCs w:val="32"/>
        </w:rPr>
      </w:pPr>
      <w:r w:rsidRPr="003B2EED">
        <w:rPr>
          <w:rFonts w:ascii="Arial" w:hAnsi="Arial" w:cs="Arial"/>
          <w:sz w:val="32"/>
          <w:szCs w:val="32"/>
        </w:rPr>
        <w:t>Ms. Arlene Chow, CEO of Heritage Petroleum;</w:t>
      </w:r>
    </w:p>
    <w:p w:rsidR="00EB043B" w:rsidRPr="003B2EED" w:rsidRDefault="006429B1" w:rsidP="00EB043B">
      <w:pPr>
        <w:spacing w:line="360" w:lineRule="auto"/>
        <w:rPr>
          <w:rFonts w:ascii="Arial" w:hAnsi="Arial" w:cs="Arial"/>
          <w:sz w:val="32"/>
          <w:szCs w:val="32"/>
        </w:rPr>
      </w:pPr>
      <w:r w:rsidRPr="003B2EED">
        <w:rPr>
          <w:rFonts w:ascii="Arial" w:hAnsi="Arial" w:cs="Arial"/>
          <w:sz w:val="32"/>
          <w:szCs w:val="32"/>
        </w:rPr>
        <w:t>Other m</w:t>
      </w:r>
      <w:r w:rsidR="00EB043B" w:rsidRPr="003B2EED">
        <w:rPr>
          <w:rFonts w:ascii="Arial" w:hAnsi="Arial" w:cs="Arial"/>
          <w:sz w:val="32"/>
          <w:szCs w:val="32"/>
        </w:rPr>
        <w:t>embers of the Board</w:t>
      </w:r>
      <w:r w:rsidRPr="003B2EED">
        <w:rPr>
          <w:rFonts w:ascii="Arial" w:hAnsi="Arial" w:cs="Arial"/>
          <w:sz w:val="32"/>
          <w:szCs w:val="32"/>
        </w:rPr>
        <w:t>s</w:t>
      </w:r>
      <w:r w:rsidR="00EB043B" w:rsidRPr="003B2EED">
        <w:rPr>
          <w:rFonts w:ascii="Arial" w:hAnsi="Arial" w:cs="Arial"/>
          <w:sz w:val="32"/>
          <w:szCs w:val="32"/>
        </w:rPr>
        <w:t xml:space="preserve"> </w:t>
      </w:r>
      <w:r w:rsidR="005B350C" w:rsidRPr="003B2EED">
        <w:rPr>
          <w:rFonts w:ascii="Arial" w:hAnsi="Arial" w:cs="Arial"/>
          <w:sz w:val="32"/>
          <w:szCs w:val="32"/>
        </w:rPr>
        <w:t xml:space="preserve">and Executive Teams </w:t>
      </w:r>
      <w:r w:rsidRPr="003B2EED">
        <w:rPr>
          <w:rFonts w:ascii="Arial" w:hAnsi="Arial" w:cs="Arial"/>
          <w:sz w:val="32"/>
          <w:szCs w:val="32"/>
        </w:rPr>
        <w:t>of Heritage</w:t>
      </w:r>
      <w:r w:rsidR="005673C9" w:rsidRPr="003B2EED">
        <w:rPr>
          <w:rFonts w:ascii="Arial" w:hAnsi="Arial" w:cs="Arial"/>
          <w:sz w:val="32"/>
          <w:szCs w:val="32"/>
        </w:rPr>
        <w:t xml:space="preserve"> Petroleum</w:t>
      </w:r>
      <w:r w:rsidRPr="003B2EED">
        <w:rPr>
          <w:rFonts w:ascii="Arial" w:hAnsi="Arial" w:cs="Arial"/>
          <w:sz w:val="32"/>
          <w:szCs w:val="32"/>
        </w:rPr>
        <w:t xml:space="preserve"> and EOG</w:t>
      </w:r>
      <w:r w:rsidR="005673C9" w:rsidRPr="003B2EED">
        <w:rPr>
          <w:rFonts w:ascii="Arial" w:hAnsi="Arial" w:cs="Arial"/>
          <w:sz w:val="32"/>
          <w:szCs w:val="32"/>
        </w:rPr>
        <w:t xml:space="preserve"> Resources Trinidad Limited</w:t>
      </w:r>
      <w:r w:rsidRPr="003B2EED">
        <w:rPr>
          <w:rFonts w:ascii="Arial" w:hAnsi="Arial" w:cs="Arial"/>
          <w:sz w:val="32"/>
          <w:szCs w:val="32"/>
        </w:rPr>
        <w:t xml:space="preserve">; </w:t>
      </w:r>
    </w:p>
    <w:p w:rsidR="005B350C" w:rsidRPr="003B2EED" w:rsidRDefault="00EB043B" w:rsidP="00EB043B">
      <w:pPr>
        <w:spacing w:line="360" w:lineRule="auto"/>
        <w:rPr>
          <w:rFonts w:ascii="Arial" w:hAnsi="Arial" w:cs="Arial"/>
          <w:sz w:val="32"/>
          <w:szCs w:val="32"/>
        </w:rPr>
      </w:pPr>
      <w:r w:rsidRPr="003B2EED">
        <w:rPr>
          <w:rFonts w:ascii="Arial" w:hAnsi="Arial" w:cs="Arial"/>
          <w:sz w:val="32"/>
          <w:szCs w:val="32"/>
        </w:rPr>
        <w:t>Ladies and gentlemen,</w:t>
      </w:r>
      <w:r w:rsidR="00585C10" w:rsidRPr="003B2EED">
        <w:rPr>
          <w:rFonts w:ascii="Arial" w:hAnsi="Arial" w:cs="Arial"/>
          <w:sz w:val="32"/>
          <w:szCs w:val="32"/>
        </w:rPr>
        <w:t xml:space="preserve">   </w:t>
      </w:r>
    </w:p>
    <w:p w:rsidR="005B350C" w:rsidRPr="003B2EED" w:rsidRDefault="005B350C" w:rsidP="003B2EED">
      <w:pPr>
        <w:spacing w:line="480" w:lineRule="auto"/>
        <w:rPr>
          <w:rFonts w:ascii="Arial" w:hAnsi="Arial" w:cs="Arial"/>
          <w:sz w:val="32"/>
          <w:szCs w:val="32"/>
        </w:rPr>
      </w:pPr>
      <w:r w:rsidRPr="003B2EED">
        <w:rPr>
          <w:rFonts w:ascii="Arial" w:hAnsi="Arial" w:cs="Arial"/>
          <w:sz w:val="32"/>
          <w:szCs w:val="32"/>
        </w:rPr>
        <w:t>Good morning.</w:t>
      </w:r>
    </w:p>
    <w:p w:rsidR="003B2EED" w:rsidRDefault="00061D51" w:rsidP="003B2EED">
      <w:pPr>
        <w:spacing w:line="480" w:lineRule="auto"/>
        <w:jc w:val="both"/>
        <w:rPr>
          <w:rFonts w:ascii="Arial" w:hAnsi="Arial" w:cs="Arial"/>
          <w:sz w:val="32"/>
          <w:szCs w:val="32"/>
        </w:rPr>
      </w:pPr>
      <w:r w:rsidRPr="003B2EED">
        <w:rPr>
          <w:rFonts w:ascii="Arial" w:hAnsi="Arial" w:cs="Arial"/>
          <w:sz w:val="32"/>
          <w:szCs w:val="32"/>
        </w:rPr>
        <w:t xml:space="preserve">I have made it my duty to </w:t>
      </w:r>
      <w:r w:rsidR="00BD4EB0" w:rsidRPr="003B2EED">
        <w:rPr>
          <w:rFonts w:ascii="Arial" w:hAnsi="Arial" w:cs="Arial"/>
          <w:sz w:val="32"/>
          <w:szCs w:val="32"/>
        </w:rPr>
        <w:t>attend today’s signing ceremony</w:t>
      </w:r>
      <w:r w:rsidRPr="003B2EED">
        <w:rPr>
          <w:rFonts w:ascii="Arial" w:hAnsi="Arial" w:cs="Arial"/>
          <w:sz w:val="32"/>
          <w:szCs w:val="32"/>
        </w:rPr>
        <w:t xml:space="preserve"> because I wanted to be on hand to congratulate both </w:t>
      </w:r>
      <w:proofErr w:type="gramStart"/>
      <w:r w:rsidRPr="003B2EED">
        <w:rPr>
          <w:rFonts w:ascii="Arial" w:hAnsi="Arial" w:cs="Arial"/>
          <w:sz w:val="32"/>
          <w:szCs w:val="32"/>
        </w:rPr>
        <w:t>Heritage</w:t>
      </w:r>
      <w:proofErr w:type="gramEnd"/>
      <w:r w:rsidRPr="003B2EED">
        <w:rPr>
          <w:rFonts w:ascii="Arial" w:hAnsi="Arial" w:cs="Arial"/>
          <w:sz w:val="32"/>
          <w:szCs w:val="32"/>
        </w:rPr>
        <w:t xml:space="preserve"> </w:t>
      </w:r>
    </w:p>
    <w:p w:rsidR="00BD4EB0" w:rsidRPr="003B2EED" w:rsidRDefault="00061D51" w:rsidP="003B2EED">
      <w:pPr>
        <w:spacing w:line="480" w:lineRule="auto"/>
        <w:jc w:val="both"/>
        <w:rPr>
          <w:rFonts w:ascii="Arial" w:hAnsi="Arial" w:cs="Arial"/>
          <w:sz w:val="32"/>
          <w:szCs w:val="32"/>
        </w:rPr>
      </w:pPr>
      <w:bookmarkStart w:id="0" w:name="_GoBack"/>
      <w:bookmarkEnd w:id="0"/>
      <w:proofErr w:type="gramStart"/>
      <w:r w:rsidRPr="003B2EED">
        <w:rPr>
          <w:rFonts w:ascii="Arial" w:hAnsi="Arial" w:cs="Arial"/>
          <w:sz w:val="32"/>
          <w:szCs w:val="32"/>
        </w:rPr>
        <w:lastRenderedPageBreak/>
        <w:t>and</w:t>
      </w:r>
      <w:proofErr w:type="gramEnd"/>
      <w:r w:rsidRPr="003B2EED">
        <w:rPr>
          <w:rFonts w:ascii="Arial" w:hAnsi="Arial" w:cs="Arial"/>
          <w:sz w:val="32"/>
          <w:szCs w:val="32"/>
        </w:rPr>
        <w:t xml:space="preserve"> EOG Resources Trinidad Limited on the Farmout and Joint Operating Agreements that are being executed here</w:t>
      </w:r>
      <w:r w:rsidR="00525CE4" w:rsidRPr="003B2EED">
        <w:rPr>
          <w:rFonts w:ascii="Arial" w:hAnsi="Arial" w:cs="Arial"/>
          <w:sz w:val="32"/>
          <w:szCs w:val="32"/>
        </w:rPr>
        <w:t xml:space="preserve"> today</w:t>
      </w:r>
      <w:r w:rsidRPr="003B2EED">
        <w:rPr>
          <w:rFonts w:ascii="Arial" w:hAnsi="Arial" w:cs="Arial"/>
          <w:sz w:val="32"/>
          <w:szCs w:val="32"/>
        </w:rPr>
        <w:t>.</w:t>
      </w:r>
      <w:r w:rsidR="00525CE4" w:rsidRPr="003B2EED">
        <w:rPr>
          <w:rFonts w:ascii="Arial" w:hAnsi="Arial" w:cs="Arial"/>
          <w:sz w:val="32"/>
          <w:szCs w:val="32"/>
        </w:rPr>
        <w:t xml:space="preserve"> I know that both teams have been working diligently and very closely with each other to develop terms and conditions that are mutually beneficial</w:t>
      </w:r>
      <w:r w:rsidR="00E41E9A" w:rsidRPr="003B2EED">
        <w:rPr>
          <w:rFonts w:ascii="Arial" w:hAnsi="Arial" w:cs="Arial"/>
          <w:sz w:val="32"/>
          <w:szCs w:val="32"/>
        </w:rPr>
        <w:t xml:space="preserve">, and I </w:t>
      </w:r>
      <w:r w:rsidR="00275F4F" w:rsidRPr="003B2EED">
        <w:rPr>
          <w:rFonts w:ascii="Arial" w:hAnsi="Arial" w:cs="Arial"/>
          <w:sz w:val="32"/>
          <w:szCs w:val="32"/>
        </w:rPr>
        <w:t>commend</w:t>
      </w:r>
      <w:r w:rsidR="00E41E9A" w:rsidRPr="003B2EED">
        <w:rPr>
          <w:rFonts w:ascii="Arial" w:hAnsi="Arial" w:cs="Arial"/>
          <w:sz w:val="32"/>
          <w:szCs w:val="32"/>
        </w:rPr>
        <w:t xml:space="preserve"> you on</w:t>
      </w:r>
      <w:r w:rsidR="00A32382" w:rsidRPr="003B2EED">
        <w:rPr>
          <w:rFonts w:ascii="Arial" w:hAnsi="Arial" w:cs="Arial"/>
          <w:sz w:val="32"/>
          <w:szCs w:val="32"/>
        </w:rPr>
        <w:t xml:space="preserve"> achieving congruence</w:t>
      </w:r>
      <w:r w:rsidR="00E41E9A" w:rsidRPr="003B2EED">
        <w:rPr>
          <w:rFonts w:ascii="Arial" w:hAnsi="Arial" w:cs="Arial"/>
          <w:sz w:val="32"/>
          <w:szCs w:val="32"/>
        </w:rPr>
        <w:t>.</w:t>
      </w:r>
    </w:p>
    <w:p w:rsidR="006E0831" w:rsidRPr="003B2EED" w:rsidRDefault="006E0831" w:rsidP="003B2EED">
      <w:pPr>
        <w:spacing w:line="480" w:lineRule="auto"/>
        <w:jc w:val="both"/>
        <w:rPr>
          <w:rFonts w:ascii="Arial" w:hAnsi="Arial" w:cs="Arial"/>
          <w:sz w:val="32"/>
          <w:szCs w:val="32"/>
        </w:rPr>
      </w:pPr>
      <w:r w:rsidRPr="003B2EED">
        <w:rPr>
          <w:rFonts w:ascii="Arial" w:hAnsi="Arial" w:cs="Arial"/>
          <w:sz w:val="32"/>
          <w:szCs w:val="32"/>
        </w:rPr>
        <w:t xml:space="preserve">The Trinidad Northern Areas have and continue to be prospective for oil. The first </w:t>
      </w:r>
      <w:proofErr w:type="spellStart"/>
      <w:r w:rsidRPr="003B2EED">
        <w:rPr>
          <w:rFonts w:ascii="Arial" w:hAnsi="Arial" w:cs="Arial"/>
          <w:sz w:val="32"/>
          <w:szCs w:val="32"/>
        </w:rPr>
        <w:t>licence</w:t>
      </w:r>
      <w:proofErr w:type="spellEnd"/>
      <w:r w:rsidRPr="003B2EED">
        <w:rPr>
          <w:rFonts w:ascii="Arial" w:hAnsi="Arial" w:cs="Arial"/>
          <w:sz w:val="32"/>
          <w:szCs w:val="32"/>
        </w:rPr>
        <w:t xml:space="preserve"> was issued in 1945 to a TNA Consortium which saw the potential for oil in the basin. Its first discovery was the Main Field in 1954, which was followed by the discovery of the East Soldado Field ten years later and subsequently the South West Soldado Field. </w:t>
      </w:r>
    </w:p>
    <w:p w:rsidR="006E0831" w:rsidRPr="003B2EED" w:rsidRDefault="006E0831" w:rsidP="003B2EED">
      <w:pPr>
        <w:spacing w:line="480" w:lineRule="auto"/>
        <w:jc w:val="both"/>
        <w:rPr>
          <w:rFonts w:ascii="Arial" w:hAnsi="Arial" w:cs="Arial"/>
          <w:sz w:val="32"/>
          <w:szCs w:val="32"/>
        </w:rPr>
      </w:pPr>
      <w:r w:rsidRPr="003B2EED">
        <w:rPr>
          <w:rFonts w:ascii="Arial" w:hAnsi="Arial" w:cs="Arial"/>
          <w:sz w:val="32"/>
          <w:szCs w:val="32"/>
        </w:rPr>
        <w:t xml:space="preserve">Most of the production to date has been derived from the Main Field which began production in 1955 and attained a peak production of 43,000 </w:t>
      </w:r>
      <w:proofErr w:type="spellStart"/>
      <w:r w:rsidRPr="003B2EED">
        <w:rPr>
          <w:rFonts w:ascii="Arial" w:hAnsi="Arial" w:cs="Arial"/>
          <w:sz w:val="32"/>
          <w:szCs w:val="32"/>
        </w:rPr>
        <w:t>bopd</w:t>
      </w:r>
      <w:proofErr w:type="spellEnd"/>
      <w:r w:rsidRPr="003B2EED">
        <w:rPr>
          <w:rFonts w:ascii="Arial" w:hAnsi="Arial" w:cs="Arial"/>
          <w:sz w:val="32"/>
          <w:szCs w:val="32"/>
        </w:rPr>
        <w:t xml:space="preserve"> in 1963. Today, the field produces approximately 3600 </w:t>
      </w:r>
      <w:proofErr w:type="spellStart"/>
      <w:r w:rsidRPr="003B2EED">
        <w:rPr>
          <w:rFonts w:ascii="Arial" w:hAnsi="Arial" w:cs="Arial"/>
          <w:sz w:val="32"/>
          <w:szCs w:val="32"/>
        </w:rPr>
        <w:t>bopd</w:t>
      </w:r>
      <w:proofErr w:type="spellEnd"/>
      <w:r w:rsidRPr="003B2EED">
        <w:rPr>
          <w:rFonts w:ascii="Arial" w:hAnsi="Arial" w:cs="Arial"/>
          <w:sz w:val="32"/>
          <w:szCs w:val="32"/>
        </w:rPr>
        <w:t xml:space="preserve">. Other established production areas include the North Soldado, East Soldado, West Soldado and Southwest Soldado fields. The East Soldado Field is currently the </w:t>
      </w:r>
      <w:r w:rsidRPr="003B2EED">
        <w:rPr>
          <w:rFonts w:ascii="Arial" w:hAnsi="Arial" w:cs="Arial"/>
          <w:sz w:val="32"/>
          <w:szCs w:val="32"/>
        </w:rPr>
        <w:lastRenderedPageBreak/>
        <w:t xml:space="preserve">largest oil producer averaging just over 5300 </w:t>
      </w:r>
      <w:proofErr w:type="spellStart"/>
      <w:r w:rsidRPr="003B2EED">
        <w:rPr>
          <w:rFonts w:ascii="Arial" w:hAnsi="Arial" w:cs="Arial"/>
          <w:sz w:val="32"/>
          <w:szCs w:val="32"/>
        </w:rPr>
        <w:t>bopd</w:t>
      </w:r>
      <w:proofErr w:type="spellEnd"/>
      <w:r w:rsidRPr="003B2EED">
        <w:rPr>
          <w:rFonts w:ascii="Arial" w:hAnsi="Arial" w:cs="Arial"/>
          <w:sz w:val="32"/>
          <w:szCs w:val="32"/>
        </w:rPr>
        <w:t xml:space="preserve"> followed by North </w:t>
      </w:r>
      <w:proofErr w:type="spellStart"/>
      <w:r w:rsidRPr="003B2EED">
        <w:rPr>
          <w:rFonts w:ascii="Arial" w:hAnsi="Arial" w:cs="Arial"/>
          <w:sz w:val="32"/>
          <w:szCs w:val="32"/>
        </w:rPr>
        <w:t>Soldado</w:t>
      </w:r>
      <w:proofErr w:type="spellEnd"/>
      <w:r w:rsidRPr="003B2EED">
        <w:rPr>
          <w:rFonts w:ascii="Arial" w:hAnsi="Arial" w:cs="Arial"/>
          <w:sz w:val="32"/>
          <w:szCs w:val="32"/>
        </w:rPr>
        <w:t xml:space="preserve"> with 5200 </w:t>
      </w:r>
      <w:proofErr w:type="spellStart"/>
      <w:r w:rsidRPr="003B2EED">
        <w:rPr>
          <w:rFonts w:ascii="Arial" w:hAnsi="Arial" w:cs="Arial"/>
          <w:sz w:val="32"/>
          <w:szCs w:val="32"/>
        </w:rPr>
        <w:t>bopd</w:t>
      </w:r>
      <w:proofErr w:type="spellEnd"/>
      <w:r w:rsidRPr="003B2EED">
        <w:rPr>
          <w:rFonts w:ascii="Arial" w:hAnsi="Arial" w:cs="Arial"/>
          <w:sz w:val="32"/>
          <w:szCs w:val="32"/>
        </w:rPr>
        <w:t>. Among these established fields, four (4) field areas remain relatively under-developed in terms of cumulative production and facilities and hold significant potential to become new field developments. These include Jubilee Field, Central Soldado, South West Soldado and Chilaca field area.</w:t>
      </w:r>
    </w:p>
    <w:p w:rsidR="006E0831" w:rsidRPr="003B2EED" w:rsidRDefault="006E0831" w:rsidP="003B2EED">
      <w:pPr>
        <w:spacing w:line="480" w:lineRule="auto"/>
        <w:jc w:val="both"/>
        <w:rPr>
          <w:rFonts w:ascii="Arial" w:hAnsi="Arial" w:cs="Arial"/>
          <w:sz w:val="32"/>
          <w:szCs w:val="32"/>
        </w:rPr>
      </w:pPr>
      <w:r w:rsidRPr="003B2EED">
        <w:rPr>
          <w:rFonts w:ascii="Arial" w:hAnsi="Arial" w:cs="Arial"/>
          <w:sz w:val="32"/>
          <w:szCs w:val="32"/>
        </w:rPr>
        <w:t>The TNA acreage has a rich dataset comprising approximately 984 wells and multiple seismic survey volumes that were acquired from 1992-2014. However, the lack of investment resulted in declining production. In 2018</w:t>
      </w:r>
      <w:r w:rsidR="00271A22" w:rsidRPr="003B2EED">
        <w:rPr>
          <w:rFonts w:ascii="Arial" w:hAnsi="Arial" w:cs="Arial"/>
          <w:sz w:val="32"/>
          <w:szCs w:val="32"/>
        </w:rPr>
        <w:t>,</w:t>
      </w:r>
      <w:r w:rsidRPr="003B2EED">
        <w:rPr>
          <w:rFonts w:ascii="Arial" w:hAnsi="Arial" w:cs="Arial"/>
          <w:sz w:val="32"/>
          <w:szCs w:val="32"/>
        </w:rPr>
        <w:t xml:space="preserve"> a collaborative team that included the Ministry collectively devised seismic-based solutions to address </w:t>
      </w:r>
      <w:r w:rsidR="00594345" w:rsidRPr="003B2EED">
        <w:rPr>
          <w:rFonts w:ascii="Arial" w:hAnsi="Arial" w:cs="Arial"/>
          <w:sz w:val="32"/>
          <w:szCs w:val="32"/>
        </w:rPr>
        <w:t>short- and longer-term</w:t>
      </w:r>
      <w:r w:rsidRPr="003B2EED">
        <w:rPr>
          <w:rFonts w:ascii="Arial" w:hAnsi="Arial" w:cs="Arial"/>
          <w:sz w:val="32"/>
          <w:szCs w:val="32"/>
        </w:rPr>
        <w:t xml:space="preserve"> production. The then Board of Directors of </w:t>
      </w:r>
      <w:proofErr w:type="spellStart"/>
      <w:r w:rsidRPr="003B2EED">
        <w:rPr>
          <w:rFonts w:ascii="Arial" w:hAnsi="Arial" w:cs="Arial"/>
          <w:sz w:val="32"/>
          <w:szCs w:val="32"/>
        </w:rPr>
        <w:t>Petrotrin</w:t>
      </w:r>
      <w:proofErr w:type="spellEnd"/>
      <w:r w:rsidRPr="003B2EED">
        <w:rPr>
          <w:rFonts w:ascii="Arial" w:hAnsi="Arial" w:cs="Arial"/>
          <w:sz w:val="32"/>
          <w:szCs w:val="32"/>
        </w:rPr>
        <w:t xml:space="preserve"> was tasked with the implementation of programmes aimed at improving oil production. These programmes included drilling and workovers both on-shore and off-shore, the implementation of its South West Soldado Project and Joint Ventures.</w:t>
      </w:r>
    </w:p>
    <w:p w:rsidR="008D0791" w:rsidRPr="003B2EED" w:rsidRDefault="00271A22" w:rsidP="003B2EED">
      <w:pPr>
        <w:spacing w:line="480" w:lineRule="auto"/>
        <w:jc w:val="both"/>
        <w:rPr>
          <w:rFonts w:ascii="Arial" w:hAnsi="Arial" w:cs="Arial"/>
          <w:sz w:val="32"/>
          <w:szCs w:val="32"/>
        </w:rPr>
      </w:pPr>
      <w:r w:rsidRPr="003B2EED">
        <w:rPr>
          <w:rFonts w:ascii="Arial" w:hAnsi="Arial" w:cs="Arial"/>
          <w:sz w:val="32"/>
          <w:szCs w:val="32"/>
        </w:rPr>
        <w:lastRenderedPageBreak/>
        <w:t>You</w:t>
      </w:r>
      <w:r w:rsidR="00B80BF0" w:rsidRPr="003B2EED">
        <w:rPr>
          <w:rFonts w:ascii="Arial" w:hAnsi="Arial" w:cs="Arial"/>
          <w:sz w:val="32"/>
          <w:szCs w:val="32"/>
        </w:rPr>
        <w:t xml:space="preserve"> may recall the</w:t>
      </w:r>
      <w:r w:rsidR="00AF72E8" w:rsidRPr="003B2EED">
        <w:rPr>
          <w:rFonts w:ascii="Arial" w:hAnsi="Arial" w:cs="Arial"/>
          <w:sz w:val="32"/>
          <w:szCs w:val="32"/>
        </w:rPr>
        <w:t xml:space="preserve"> infamous </w:t>
      </w:r>
      <w:r w:rsidR="00862B1F" w:rsidRPr="003B2EED">
        <w:rPr>
          <w:rFonts w:ascii="Arial" w:hAnsi="Arial" w:cs="Arial"/>
          <w:sz w:val="32"/>
          <w:szCs w:val="32"/>
        </w:rPr>
        <w:t>2012</w:t>
      </w:r>
      <w:r w:rsidRPr="003B2EED">
        <w:rPr>
          <w:rFonts w:ascii="Arial" w:hAnsi="Arial" w:cs="Arial"/>
          <w:sz w:val="32"/>
          <w:szCs w:val="32"/>
        </w:rPr>
        <w:t xml:space="preserve"> iteration of the</w:t>
      </w:r>
      <w:r w:rsidR="00862B1F" w:rsidRPr="003B2EED">
        <w:rPr>
          <w:rFonts w:ascii="Arial" w:hAnsi="Arial" w:cs="Arial"/>
          <w:sz w:val="32"/>
          <w:szCs w:val="32"/>
        </w:rPr>
        <w:t xml:space="preserve"> </w:t>
      </w:r>
      <w:r w:rsidR="00AF72E8" w:rsidRPr="003B2EED">
        <w:rPr>
          <w:rFonts w:ascii="Arial" w:hAnsi="Arial" w:cs="Arial"/>
          <w:sz w:val="32"/>
          <w:szCs w:val="32"/>
        </w:rPr>
        <w:t>South West Soldado</w:t>
      </w:r>
      <w:r w:rsidR="00E02594" w:rsidRPr="003B2EED">
        <w:rPr>
          <w:rFonts w:ascii="Arial" w:hAnsi="Arial" w:cs="Arial"/>
          <w:sz w:val="32"/>
          <w:szCs w:val="32"/>
        </w:rPr>
        <w:t xml:space="preserve"> reactivation</w:t>
      </w:r>
      <w:r w:rsidR="00AF72E8" w:rsidRPr="003B2EED">
        <w:rPr>
          <w:rFonts w:ascii="Arial" w:hAnsi="Arial" w:cs="Arial"/>
          <w:sz w:val="32"/>
          <w:szCs w:val="32"/>
        </w:rPr>
        <w:t xml:space="preserve"> project</w:t>
      </w:r>
      <w:r w:rsidR="00084B6E" w:rsidRPr="003B2EED">
        <w:rPr>
          <w:rFonts w:ascii="Arial" w:hAnsi="Arial" w:cs="Arial"/>
          <w:sz w:val="32"/>
          <w:szCs w:val="32"/>
        </w:rPr>
        <w:t>,</w:t>
      </w:r>
      <w:r w:rsidRPr="003B2EED">
        <w:rPr>
          <w:rFonts w:ascii="Arial" w:hAnsi="Arial" w:cs="Arial"/>
          <w:sz w:val="32"/>
          <w:szCs w:val="32"/>
        </w:rPr>
        <w:t xml:space="preserve"> one of the many questionable projects under the former administration,</w:t>
      </w:r>
      <w:r w:rsidR="00084B6E" w:rsidRPr="003B2EED">
        <w:rPr>
          <w:rFonts w:ascii="Arial" w:hAnsi="Arial" w:cs="Arial"/>
          <w:sz w:val="32"/>
          <w:szCs w:val="32"/>
        </w:rPr>
        <w:t xml:space="preserve"> which </w:t>
      </w:r>
      <w:r w:rsidR="00872058" w:rsidRPr="003B2EED">
        <w:rPr>
          <w:rFonts w:ascii="Arial" w:hAnsi="Arial" w:cs="Arial"/>
          <w:sz w:val="32"/>
          <w:szCs w:val="32"/>
        </w:rPr>
        <w:t xml:space="preserve">faced </w:t>
      </w:r>
      <w:r w:rsidRPr="003B2EED">
        <w:rPr>
          <w:rFonts w:ascii="Arial" w:hAnsi="Arial" w:cs="Arial"/>
          <w:sz w:val="32"/>
          <w:szCs w:val="32"/>
        </w:rPr>
        <w:t>numerous</w:t>
      </w:r>
      <w:r w:rsidR="00084B6E" w:rsidRPr="003B2EED">
        <w:rPr>
          <w:rFonts w:ascii="Arial" w:hAnsi="Arial" w:cs="Arial"/>
          <w:sz w:val="32"/>
          <w:szCs w:val="32"/>
        </w:rPr>
        <w:t xml:space="preserve"> delays </w:t>
      </w:r>
      <w:r w:rsidR="00872058" w:rsidRPr="003B2EED">
        <w:rPr>
          <w:rFonts w:ascii="Arial" w:hAnsi="Arial" w:cs="Arial"/>
          <w:sz w:val="32"/>
          <w:szCs w:val="32"/>
        </w:rPr>
        <w:t>and challenges</w:t>
      </w:r>
      <w:r w:rsidR="00084B6E" w:rsidRPr="003B2EED">
        <w:rPr>
          <w:rFonts w:ascii="Arial" w:hAnsi="Arial" w:cs="Arial"/>
          <w:sz w:val="32"/>
          <w:szCs w:val="32"/>
        </w:rPr>
        <w:t>.</w:t>
      </w:r>
      <w:r w:rsidR="00A25DFD" w:rsidRPr="003B2EED">
        <w:rPr>
          <w:rFonts w:ascii="Arial" w:hAnsi="Arial" w:cs="Arial"/>
          <w:sz w:val="32"/>
          <w:szCs w:val="32"/>
        </w:rPr>
        <w:t xml:space="preserve"> </w:t>
      </w:r>
      <w:r w:rsidR="00862B1F" w:rsidRPr="003B2EED">
        <w:rPr>
          <w:rFonts w:ascii="Arial" w:hAnsi="Arial" w:cs="Arial"/>
          <w:sz w:val="32"/>
          <w:szCs w:val="32"/>
        </w:rPr>
        <w:t>In addition to infrastructural issues, t</w:t>
      </w:r>
      <w:r w:rsidR="002E362D" w:rsidRPr="003B2EED">
        <w:rPr>
          <w:rFonts w:ascii="Arial" w:hAnsi="Arial" w:cs="Arial"/>
          <w:sz w:val="32"/>
          <w:szCs w:val="32"/>
        </w:rPr>
        <w:t>h</w:t>
      </w:r>
      <w:r w:rsidR="00E02594" w:rsidRPr="003B2EED">
        <w:rPr>
          <w:rFonts w:ascii="Arial" w:hAnsi="Arial" w:cs="Arial"/>
          <w:sz w:val="32"/>
          <w:szCs w:val="32"/>
        </w:rPr>
        <w:t>e project was plagued by mismanagement and a lack of accountability</w:t>
      </w:r>
      <w:r w:rsidR="00FC1D44" w:rsidRPr="003B2EED">
        <w:rPr>
          <w:rFonts w:ascii="Arial" w:hAnsi="Arial" w:cs="Arial"/>
          <w:sz w:val="32"/>
          <w:szCs w:val="32"/>
        </w:rPr>
        <w:t>.</w:t>
      </w:r>
      <w:r w:rsidR="00E02594" w:rsidRPr="003B2EED">
        <w:rPr>
          <w:rFonts w:ascii="Arial" w:hAnsi="Arial" w:cs="Arial"/>
          <w:sz w:val="32"/>
          <w:szCs w:val="32"/>
        </w:rPr>
        <w:t xml:space="preserve"> A</w:t>
      </w:r>
      <w:r w:rsidR="00B62EF8" w:rsidRPr="003B2EED">
        <w:rPr>
          <w:rFonts w:ascii="Arial" w:hAnsi="Arial" w:cs="Arial"/>
          <w:sz w:val="32"/>
          <w:szCs w:val="32"/>
        </w:rPr>
        <w:t xml:space="preserve"> breach of former </w:t>
      </w:r>
      <w:proofErr w:type="spellStart"/>
      <w:r w:rsidR="00B62EF8" w:rsidRPr="003B2EED">
        <w:rPr>
          <w:rFonts w:ascii="Arial" w:hAnsi="Arial" w:cs="Arial"/>
          <w:sz w:val="32"/>
          <w:szCs w:val="32"/>
        </w:rPr>
        <w:t>Petrotrin’s</w:t>
      </w:r>
      <w:proofErr w:type="spellEnd"/>
      <w:r w:rsidR="00B62EF8" w:rsidRPr="003B2EED">
        <w:rPr>
          <w:rFonts w:ascii="Arial" w:hAnsi="Arial" w:cs="Arial"/>
          <w:sz w:val="32"/>
          <w:szCs w:val="32"/>
        </w:rPr>
        <w:t xml:space="preserve"> </w:t>
      </w:r>
      <w:r w:rsidR="00E02594" w:rsidRPr="003B2EED">
        <w:rPr>
          <w:rFonts w:ascii="Arial" w:hAnsi="Arial" w:cs="Arial"/>
          <w:sz w:val="32"/>
          <w:szCs w:val="32"/>
        </w:rPr>
        <w:t xml:space="preserve">tender </w:t>
      </w:r>
      <w:r w:rsidR="00B62EF8" w:rsidRPr="003B2EED">
        <w:rPr>
          <w:rFonts w:ascii="Arial" w:hAnsi="Arial" w:cs="Arial"/>
          <w:sz w:val="32"/>
          <w:szCs w:val="32"/>
        </w:rPr>
        <w:t>rules</w:t>
      </w:r>
      <w:r w:rsidR="00C12B25" w:rsidRPr="003B2EED">
        <w:rPr>
          <w:rFonts w:ascii="Arial" w:hAnsi="Arial" w:cs="Arial"/>
          <w:sz w:val="32"/>
          <w:szCs w:val="32"/>
        </w:rPr>
        <w:t xml:space="preserve"> in 2012</w:t>
      </w:r>
      <w:r w:rsidR="00E02594" w:rsidRPr="003B2EED">
        <w:rPr>
          <w:rFonts w:ascii="Arial" w:hAnsi="Arial" w:cs="Arial"/>
          <w:sz w:val="32"/>
          <w:szCs w:val="32"/>
        </w:rPr>
        <w:t xml:space="preserve"> resulted in </w:t>
      </w:r>
      <w:r w:rsidR="00435BC9" w:rsidRPr="003B2EED">
        <w:rPr>
          <w:rFonts w:ascii="Arial" w:hAnsi="Arial" w:cs="Arial"/>
          <w:sz w:val="32"/>
          <w:szCs w:val="32"/>
        </w:rPr>
        <w:t xml:space="preserve">the improper award of a contract to a Mexican firm, </w:t>
      </w:r>
      <w:proofErr w:type="spellStart"/>
      <w:r w:rsidR="00435BC9" w:rsidRPr="003B2EED">
        <w:rPr>
          <w:rFonts w:ascii="Arial" w:hAnsi="Arial" w:cs="Arial"/>
          <w:sz w:val="32"/>
          <w:szCs w:val="32"/>
        </w:rPr>
        <w:t>Maritima</w:t>
      </w:r>
      <w:proofErr w:type="spellEnd"/>
      <w:r w:rsidR="00435BC9" w:rsidRPr="003B2EED">
        <w:rPr>
          <w:rFonts w:ascii="Arial" w:hAnsi="Arial" w:cs="Arial"/>
          <w:sz w:val="32"/>
          <w:szCs w:val="32"/>
        </w:rPr>
        <w:t xml:space="preserve">, and a controversial advance payment of US$1.25 million for a vessel </w:t>
      </w:r>
      <w:r w:rsidR="00362C5F" w:rsidRPr="003B2EED">
        <w:rPr>
          <w:rFonts w:ascii="Arial" w:hAnsi="Arial" w:cs="Arial"/>
          <w:sz w:val="32"/>
          <w:szCs w:val="32"/>
        </w:rPr>
        <w:t>that never materialized.</w:t>
      </w:r>
      <w:r w:rsidR="00435BC9" w:rsidRPr="003B2EED">
        <w:rPr>
          <w:rFonts w:ascii="Arial" w:hAnsi="Arial" w:cs="Arial"/>
          <w:sz w:val="32"/>
          <w:szCs w:val="32"/>
        </w:rPr>
        <w:t xml:space="preserve"> </w:t>
      </w:r>
      <w:r w:rsidR="00362C5F" w:rsidRPr="003B2EED">
        <w:rPr>
          <w:rFonts w:ascii="Arial" w:hAnsi="Arial" w:cs="Arial"/>
          <w:sz w:val="32"/>
          <w:szCs w:val="32"/>
        </w:rPr>
        <w:t xml:space="preserve">This </w:t>
      </w:r>
      <w:r w:rsidR="00852C80" w:rsidRPr="003B2EED">
        <w:rPr>
          <w:rFonts w:ascii="Arial" w:hAnsi="Arial" w:cs="Arial"/>
          <w:sz w:val="32"/>
          <w:szCs w:val="32"/>
        </w:rPr>
        <w:t>misappropriation of public funds</w:t>
      </w:r>
      <w:r w:rsidR="00362C5F" w:rsidRPr="003B2EED">
        <w:rPr>
          <w:rFonts w:ascii="Arial" w:hAnsi="Arial" w:cs="Arial"/>
          <w:sz w:val="32"/>
          <w:szCs w:val="32"/>
        </w:rPr>
        <w:t xml:space="preserve"> cost taxpayer</w:t>
      </w:r>
      <w:r w:rsidR="00852C80" w:rsidRPr="003B2EED">
        <w:rPr>
          <w:rFonts w:ascii="Arial" w:hAnsi="Arial" w:cs="Arial"/>
          <w:sz w:val="32"/>
          <w:szCs w:val="32"/>
        </w:rPr>
        <w:t xml:space="preserve">s </w:t>
      </w:r>
      <w:r w:rsidR="00362C5F" w:rsidRPr="003B2EED">
        <w:rPr>
          <w:rFonts w:ascii="Arial" w:hAnsi="Arial" w:cs="Arial"/>
          <w:sz w:val="32"/>
          <w:szCs w:val="32"/>
        </w:rPr>
        <w:t xml:space="preserve">US$750,000, which </w:t>
      </w:r>
      <w:r w:rsidR="00435BC9" w:rsidRPr="003B2EED">
        <w:rPr>
          <w:rFonts w:ascii="Arial" w:hAnsi="Arial" w:cs="Arial"/>
          <w:sz w:val="32"/>
          <w:szCs w:val="32"/>
        </w:rPr>
        <w:t>allegedly</w:t>
      </w:r>
      <w:r w:rsidR="00362C5F" w:rsidRPr="003B2EED">
        <w:rPr>
          <w:rFonts w:ascii="Arial" w:hAnsi="Arial" w:cs="Arial"/>
          <w:sz w:val="32"/>
          <w:szCs w:val="32"/>
        </w:rPr>
        <w:t xml:space="preserve"> turned up in two private bank accounts in Maraval</w:t>
      </w:r>
      <w:r w:rsidR="00B62EF8" w:rsidRPr="003B2EED">
        <w:rPr>
          <w:rFonts w:ascii="Arial" w:hAnsi="Arial" w:cs="Arial"/>
          <w:sz w:val="32"/>
          <w:szCs w:val="32"/>
        </w:rPr>
        <w:t xml:space="preserve">, and put a financial strain on </w:t>
      </w:r>
      <w:proofErr w:type="spellStart"/>
      <w:r w:rsidR="00B62EF8" w:rsidRPr="003B2EED">
        <w:rPr>
          <w:rFonts w:ascii="Arial" w:hAnsi="Arial" w:cs="Arial"/>
          <w:sz w:val="32"/>
          <w:szCs w:val="32"/>
        </w:rPr>
        <w:t>Petrotrin</w:t>
      </w:r>
      <w:proofErr w:type="spellEnd"/>
      <w:r w:rsidR="00B62EF8" w:rsidRPr="003B2EED">
        <w:rPr>
          <w:rFonts w:ascii="Arial" w:hAnsi="Arial" w:cs="Arial"/>
          <w:sz w:val="32"/>
          <w:szCs w:val="32"/>
        </w:rPr>
        <w:t xml:space="preserve">, which was already suffering from cash flow problems. </w:t>
      </w:r>
      <w:r w:rsidR="002D1E40" w:rsidRPr="003B2EED">
        <w:rPr>
          <w:rFonts w:ascii="Arial" w:hAnsi="Arial" w:cs="Arial"/>
          <w:sz w:val="32"/>
          <w:szCs w:val="32"/>
        </w:rPr>
        <w:t xml:space="preserve"> </w:t>
      </w:r>
    </w:p>
    <w:p w:rsidR="00B80BF0" w:rsidRPr="003B2EED" w:rsidRDefault="0018685D" w:rsidP="003B2EED">
      <w:pPr>
        <w:spacing w:line="480" w:lineRule="auto"/>
        <w:jc w:val="both"/>
        <w:rPr>
          <w:rFonts w:ascii="Arial" w:hAnsi="Arial" w:cs="Arial"/>
          <w:sz w:val="32"/>
          <w:szCs w:val="32"/>
        </w:rPr>
      </w:pPr>
      <w:r w:rsidRPr="003B2EED">
        <w:rPr>
          <w:rFonts w:ascii="Arial" w:hAnsi="Arial" w:cs="Arial"/>
          <w:sz w:val="32"/>
          <w:szCs w:val="32"/>
        </w:rPr>
        <w:t>I</w:t>
      </w:r>
      <w:r w:rsidR="00EC44B1" w:rsidRPr="003B2EED">
        <w:rPr>
          <w:rFonts w:ascii="Arial" w:hAnsi="Arial" w:cs="Arial"/>
          <w:sz w:val="32"/>
          <w:szCs w:val="32"/>
        </w:rPr>
        <w:t>t was not until</w:t>
      </w:r>
      <w:r w:rsidR="00613DEA" w:rsidRPr="003B2EED">
        <w:rPr>
          <w:rFonts w:ascii="Arial" w:hAnsi="Arial" w:cs="Arial"/>
          <w:sz w:val="32"/>
          <w:szCs w:val="32"/>
        </w:rPr>
        <w:t xml:space="preserve"> </w:t>
      </w:r>
      <w:r w:rsidR="00EC44B1" w:rsidRPr="003B2EED">
        <w:rPr>
          <w:rFonts w:ascii="Arial" w:hAnsi="Arial" w:cs="Arial"/>
          <w:sz w:val="32"/>
          <w:szCs w:val="32"/>
        </w:rPr>
        <w:t>early 2020 that</w:t>
      </w:r>
      <w:r w:rsidR="00613DEA" w:rsidRPr="003B2EED">
        <w:rPr>
          <w:rFonts w:ascii="Arial" w:hAnsi="Arial" w:cs="Arial"/>
          <w:sz w:val="32"/>
          <w:szCs w:val="32"/>
        </w:rPr>
        <w:t xml:space="preserve"> the</w:t>
      </w:r>
      <w:r w:rsidR="00C12B25" w:rsidRPr="003B2EED">
        <w:rPr>
          <w:rFonts w:ascii="Arial" w:hAnsi="Arial" w:cs="Arial"/>
          <w:sz w:val="32"/>
          <w:szCs w:val="32"/>
        </w:rPr>
        <w:t xml:space="preserve"> reactivation of the South West Soldado Field was finally achieved, under the management of Heritage, when the</w:t>
      </w:r>
      <w:r w:rsidR="00613DEA" w:rsidRPr="003B2EED">
        <w:rPr>
          <w:rFonts w:ascii="Arial" w:hAnsi="Arial" w:cs="Arial"/>
          <w:sz w:val="32"/>
          <w:szCs w:val="32"/>
        </w:rPr>
        <w:t xml:space="preserve"> Mobile Offshore Production and Compression Unit (MOPU) came online and was mobilized to South West </w:t>
      </w:r>
      <w:r w:rsidR="00613DEA" w:rsidRPr="003B2EED">
        <w:rPr>
          <w:rFonts w:ascii="Arial" w:hAnsi="Arial" w:cs="Arial"/>
          <w:sz w:val="32"/>
          <w:szCs w:val="32"/>
        </w:rPr>
        <w:lastRenderedPageBreak/>
        <w:t>Soldado.</w:t>
      </w:r>
      <w:r w:rsidR="00E222E1" w:rsidRPr="003B2EED">
        <w:rPr>
          <w:rFonts w:ascii="Arial" w:hAnsi="Arial" w:cs="Arial"/>
          <w:sz w:val="32"/>
          <w:szCs w:val="32"/>
        </w:rPr>
        <w:t xml:space="preserve"> Since the deployment of the MOPU, production has increased from 1,663 barrels of oil per day (bopd) in 2018 to 2,927 bopd in 2020, and is expected to increase further to 3,323 bopd in 2021.</w:t>
      </w:r>
    </w:p>
    <w:p w:rsidR="00AE632B" w:rsidRPr="003B2EED" w:rsidRDefault="00084B6E" w:rsidP="003B2EED">
      <w:pPr>
        <w:spacing w:line="480" w:lineRule="auto"/>
        <w:jc w:val="both"/>
        <w:rPr>
          <w:rFonts w:ascii="Arial" w:hAnsi="Arial" w:cs="Arial"/>
          <w:sz w:val="32"/>
          <w:szCs w:val="32"/>
        </w:rPr>
      </w:pPr>
      <w:r w:rsidRPr="003B2EED">
        <w:rPr>
          <w:rFonts w:ascii="Arial" w:hAnsi="Arial" w:cs="Arial"/>
          <w:sz w:val="32"/>
          <w:szCs w:val="32"/>
        </w:rPr>
        <w:t>It is a testament to the size and quality of the reservoirs, in addition to the work done in the area, that these fields are still producing oil to this day, and d</w:t>
      </w:r>
      <w:r w:rsidR="00955ABA" w:rsidRPr="003B2EED">
        <w:rPr>
          <w:rFonts w:ascii="Arial" w:hAnsi="Arial" w:cs="Arial"/>
          <w:sz w:val="32"/>
          <w:szCs w:val="32"/>
        </w:rPr>
        <w:t xml:space="preserve">espite the </w:t>
      </w:r>
      <w:r w:rsidRPr="003B2EED">
        <w:rPr>
          <w:rFonts w:ascii="Arial" w:hAnsi="Arial" w:cs="Arial"/>
          <w:sz w:val="32"/>
          <w:szCs w:val="32"/>
        </w:rPr>
        <w:t>substantial exploration and production that has</w:t>
      </w:r>
      <w:r w:rsidR="00955ABA" w:rsidRPr="003B2EED">
        <w:rPr>
          <w:rFonts w:ascii="Arial" w:hAnsi="Arial" w:cs="Arial"/>
          <w:sz w:val="32"/>
          <w:szCs w:val="32"/>
        </w:rPr>
        <w:t xml:space="preserve"> already</w:t>
      </w:r>
      <w:r w:rsidRPr="003B2EED">
        <w:rPr>
          <w:rFonts w:ascii="Arial" w:hAnsi="Arial" w:cs="Arial"/>
          <w:sz w:val="32"/>
          <w:szCs w:val="32"/>
        </w:rPr>
        <w:t xml:space="preserve"> been</w:t>
      </w:r>
      <w:r w:rsidR="00955ABA" w:rsidRPr="003B2EED">
        <w:rPr>
          <w:rFonts w:ascii="Arial" w:hAnsi="Arial" w:cs="Arial"/>
          <w:sz w:val="32"/>
          <w:szCs w:val="32"/>
        </w:rPr>
        <w:t xml:space="preserve"> done in the licence area over the years, there </w:t>
      </w:r>
      <w:r w:rsidRPr="003B2EED">
        <w:rPr>
          <w:rFonts w:ascii="Arial" w:hAnsi="Arial" w:cs="Arial"/>
          <w:sz w:val="32"/>
          <w:szCs w:val="32"/>
        </w:rPr>
        <w:t xml:space="preserve">still </w:t>
      </w:r>
      <w:r w:rsidR="00955ABA" w:rsidRPr="003B2EED">
        <w:rPr>
          <w:rFonts w:ascii="Arial" w:hAnsi="Arial" w:cs="Arial"/>
          <w:sz w:val="32"/>
          <w:szCs w:val="32"/>
        </w:rPr>
        <w:t xml:space="preserve">remains some acreage to be explored. </w:t>
      </w:r>
      <w:r w:rsidR="00D60C13" w:rsidRPr="003B2EED">
        <w:rPr>
          <w:rFonts w:ascii="Arial" w:hAnsi="Arial" w:cs="Arial"/>
          <w:sz w:val="32"/>
          <w:szCs w:val="32"/>
        </w:rPr>
        <w:t>This joint venture</w:t>
      </w:r>
      <w:r w:rsidR="00872058" w:rsidRPr="003B2EED">
        <w:rPr>
          <w:rFonts w:ascii="Arial" w:hAnsi="Arial" w:cs="Arial"/>
          <w:sz w:val="32"/>
          <w:szCs w:val="32"/>
        </w:rPr>
        <w:t xml:space="preserve"> between Heritage and EOG</w:t>
      </w:r>
      <w:r w:rsidR="00D60C13" w:rsidRPr="003B2EED">
        <w:rPr>
          <w:rFonts w:ascii="Arial" w:hAnsi="Arial" w:cs="Arial"/>
          <w:sz w:val="32"/>
          <w:szCs w:val="32"/>
        </w:rPr>
        <w:t xml:space="preserve"> cements the commitment of two companies, each successful in their own right, to work together to achieve their respective objectives</w:t>
      </w:r>
      <w:r w:rsidR="00FD0F83" w:rsidRPr="003B2EED">
        <w:rPr>
          <w:rFonts w:ascii="Arial" w:hAnsi="Arial" w:cs="Arial"/>
          <w:sz w:val="32"/>
          <w:szCs w:val="32"/>
        </w:rPr>
        <w:t xml:space="preserve"> in this particular area</w:t>
      </w:r>
      <w:r w:rsidR="00D60C13" w:rsidRPr="003B2EED">
        <w:rPr>
          <w:rFonts w:ascii="Arial" w:hAnsi="Arial" w:cs="Arial"/>
          <w:sz w:val="32"/>
          <w:szCs w:val="32"/>
        </w:rPr>
        <w:t>.</w:t>
      </w:r>
      <w:r w:rsidR="00E41E9A" w:rsidRPr="003B2EED">
        <w:rPr>
          <w:rFonts w:ascii="Arial" w:hAnsi="Arial" w:cs="Arial"/>
          <w:sz w:val="32"/>
          <w:szCs w:val="32"/>
        </w:rPr>
        <w:t xml:space="preserve"> </w:t>
      </w:r>
      <w:r w:rsidR="00525CE4" w:rsidRPr="003B2EED">
        <w:rPr>
          <w:rFonts w:ascii="Arial" w:hAnsi="Arial" w:cs="Arial"/>
          <w:sz w:val="32"/>
          <w:szCs w:val="32"/>
        </w:rPr>
        <w:t xml:space="preserve"> </w:t>
      </w:r>
    </w:p>
    <w:p w:rsidR="004116A9" w:rsidRPr="003B2EED" w:rsidRDefault="004116A9" w:rsidP="003B2EED">
      <w:pPr>
        <w:spacing w:line="480" w:lineRule="auto"/>
        <w:jc w:val="both"/>
        <w:rPr>
          <w:rFonts w:ascii="Arial" w:hAnsi="Arial" w:cs="Arial"/>
          <w:sz w:val="32"/>
          <w:szCs w:val="32"/>
        </w:rPr>
      </w:pPr>
      <w:r w:rsidRPr="003B2EED">
        <w:rPr>
          <w:rFonts w:ascii="Arial" w:hAnsi="Arial" w:cs="Arial"/>
          <w:sz w:val="32"/>
          <w:szCs w:val="32"/>
        </w:rPr>
        <w:t>Within the Gulf of Paria</w:t>
      </w:r>
      <w:r w:rsidR="00FE3BC6" w:rsidRPr="003B2EED">
        <w:rPr>
          <w:rFonts w:ascii="Arial" w:hAnsi="Arial" w:cs="Arial"/>
          <w:sz w:val="32"/>
          <w:szCs w:val="32"/>
        </w:rPr>
        <w:t>, outside of the Soldado Field areas, the Jubilee Field</w:t>
      </w:r>
      <w:r w:rsidR="00745F1E" w:rsidRPr="003B2EED">
        <w:rPr>
          <w:rFonts w:ascii="Arial" w:hAnsi="Arial" w:cs="Arial"/>
          <w:sz w:val="32"/>
          <w:szCs w:val="32"/>
        </w:rPr>
        <w:t xml:space="preserve"> is another area of interest for Heritage</w:t>
      </w:r>
      <w:r w:rsidR="00CA0F2B" w:rsidRPr="003B2EED">
        <w:rPr>
          <w:rFonts w:ascii="Arial" w:hAnsi="Arial" w:cs="Arial"/>
          <w:sz w:val="32"/>
          <w:szCs w:val="32"/>
        </w:rPr>
        <w:t xml:space="preserve">, located five kilometers </w:t>
      </w:r>
      <w:r w:rsidR="00FF3E90" w:rsidRPr="003B2EED">
        <w:rPr>
          <w:rFonts w:ascii="Arial" w:hAnsi="Arial" w:cs="Arial"/>
          <w:sz w:val="32"/>
          <w:szCs w:val="32"/>
        </w:rPr>
        <w:t>offshore of Point Fortin</w:t>
      </w:r>
      <w:r w:rsidR="00745F1E" w:rsidRPr="003B2EED">
        <w:rPr>
          <w:rFonts w:ascii="Arial" w:hAnsi="Arial" w:cs="Arial"/>
          <w:sz w:val="32"/>
          <w:szCs w:val="32"/>
        </w:rPr>
        <w:t>.</w:t>
      </w:r>
      <w:r w:rsidR="0084344C" w:rsidRPr="003B2EED">
        <w:rPr>
          <w:rFonts w:ascii="Arial" w:hAnsi="Arial" w:cs="Arial"/>
          <w:sz w:val="32"/>
          <w:szCs w:val="32"/>
        </w:rPr>
        <w:t xml:space="preserve"> It is quite unique in its geometry, and</w:t>
      </w:r>
      <w:r w:rsidR="00FE3BC6" w:rsidRPr="003B2EED">
        <w:rPr>
          <w:rFonts w:ascii="Arial" w:hAnsi="Arial" w:cs="Arial"/>
          <w:sz w:val="32"/>
          <w:szCs w:val="32"/>
        </w:rPr>
        <w:t xml:space="preserve"> </w:t>
      </w:r>
      <w:r w:rsidR="0084344C" w:rsidRPr="003B2EED">
        <w:rPr>
          <w:rFonts w:ascii="Arial" w:hAnsi="Arial" w:cs="Arial"/>
          <w:sz w:val="32"/>
          <w:szCs w:val="32"/>
        </w:rPr>
        <w:t xml:space="preserve">is divided into the Cluster 6 area in the east and </w:t>
      </w:r>
      <w:r w:rsidR="0084344C" w:rsidRPr="003B2EED">
        <w:rPr>
          <w:rFonts w:ascii="Arial" w:hAnsi="Arial" w:cs="Arial"/>
          <w:sz w:val="32"/>
          <w:szCs w:val="32"/>
        </w:rPr>
        <w:lastRenderedPageBreak/>
        <w:t xml:space="preserve">the Heavy Oil area in the west. </w:t>
      </w:r>
      <w:r w:rsidR="00CA0F2B" w:rsidRPr="003B2EED">
        <w:rPr>
          <w:rFonts w:ascii="Arial" w:hAnsi="Arial" w:cs="Arial"/>
          <w:sz w:val="32"/>
          <w:szCs w:val="32"/>
        </w:rPr>
        <w:t xml:space="preserve">In early 2020, </w:t>
      </w:r>
      <w:r w:rsidR="0084344C" w:rsidRPr="003B2EED">
        <w:rPr>
          <w:rFonts w:ascii="Arial" w:hAnsi="Arial" w:cs="Arial"/>
          <w:sz w:val="32"/>
          <w:szCs w:val="32"/>
        </w:rPr>
        <w:t xml:space="preserve">Heritage </w:t>
      </w:r>
      <w:r w:rsidR="00CA0F2B" w:rsidRPr="003B2EED">
        <w:rPr>
          <w:rFonts w:ascii="Arial" w:hAnsi="Arial" w:cs="Arial"/>
          <w:sz w:val="32"/>
          <w:szCs w:val="32"/>
        </w:rPr>
        <w:t>p</w:t>
      </w:r>
      <w:r w:rsidR="0084344C" w:rsidRPr="003B2EED">
        <w:rPr>
          <w:rFonts w:ascii="Arial" w:hAnsi="Arial" w:cs="Arial"/>
          <w:sz w:val="32"/>
          <w:szCs w:val="32"/>
        </w:rPr>
        <w:t>ut out</w:t>
      </w:r>
      <w:r w:rsidR="00745F1E" w:rsidRPr="003B2EED">
        <w:rPr>
          <w:rFonts w:ascii="Arial" w:hAnsi="Arial" w:cs="Arial"/>
          <w:sz w:val="32"/>
          <w:szCs w:val="32"/>
        </w:rPr>
        <w:t xml:space="preserve"> a call for Expressions of Interest (EOI) for partners to develop the field</w:t>
      </w:r>
      <w:r w:rsidR="00FF3E90" w:rsidRPr="003B2EED">
        <w:rPr>
          <w:rFonts w:ascii="Arial" w:hAnsi="Arial" w:cs="Arial"/>
          <w:sz w:val="32"/>
          <w:szCs w:val="32"/>
        </w:rPr>
        <w:t>. An RFP was subsequently issued in December 2020,</w:t>
      </w:r>
      <w:r w:rsidR="00745F1E" w:rsidRPr="003B2EED">
        <w:rPr>
          <w:rFonts w:ascii="Arial" w:hAnsi="Arial" w:cs="Arial"/>
          <w:sz w:val="32"/>
          <w:szCs w:val="32"/>
        </w:rPr>
        <w:t xml:space="preserve"> and </w:t>
      </w:r>
      <w:r w:rsidR="00FF3E90" w:rsidRPr="003B2EED">
        <w:rPr>
          <w:rFonts w:ascii="Arial" w:hAnsi="Arial" w:cs="Arial"/>
          <w:sz w:val="32"/>
          <w:szCs w:val="32"/>
        </w:rPr>
        <w:t xml:space="preserve">Heritage </w:t>
      </w:r>
      <w:r w:rsidR="004A7D81" w:rsidRPr="003B2EED">
        <w:rPr>
          <w:rFonts w:ascii="Arial" w:hAnsi="Arial" w:cs="Arial"/>
          <w:sz w:val="32"/>
          <w:szCs w:val="32"/>
        </w:rPr>
        <w:t xml:space="preserve">is in data room discussions with several potential partners. We eagerly await the </w:t>
      </w:r>
      <w:r w:rsidR="00FF3E90" w:rsidRPr="003B2EED">
        <w:rPr>
          <w:rFonts w:ascii="Arial" w:hAnsi="Arial" w:cs="Arial"/>
          <w:sz w:val="32"/>
          <w:szCs w:val="32"/>
        </w:rPr>
        <w:t xml:space="preserve">evaluation of proposals following the </w:t>
      </w:r>
      <w:r w:rsidR="000E1B37" w:rsidRPr="003B2EED">
        <w:rPr>
          <w:rFonts w:ascii="Arial" w:hAnsi="Arial" w:cs="Arial"/>
          <w:sz w:val="32"/>
          <w:szCs w:val="32"/>
        </w:rPr>
        <w:t xml:space="preserve">submission </w:t>
      </w:r>
      <w:r w:rsidR="00FF3E90" w:rsidRPr="003B2EED">
        <w:rPr>
          <w:rFonts w:ascii="Arial" w:hAnsi="Arial" w:cs="Arial"/>
          <w:sz w:val="32"/>
          <w:szCs w:val="32"/>
        </w:rPr>
        <w:t>deadline in Q3 2021</w:t>
      </w:r>
      <w:r w:rsidR="004A7D81" w:rsidRPr="003B2EED">
        <w:rPr>
          <w:rFonts w:ascii="Arial" w:hAnsi="Arial" w:cs="Arial"/>
          <w:sz w:val="32"/>
          <w:szCs w:val="32"/>
        </w:rPr>
        <w:t>, and perhaps there will be another of these signing ceremonies in the near future.</w:t>
      </w:r>
      <w:r w:rsidR="00745F1E" w:rsidRPr="003B2EED">
        <w:rPr>
          <w:rFonts w:ascii="Arial" w:hAnsi="Arial" w:cs="Arial"/>
          <w:sz w:val="32"/>
          <w:szCs w:val="32"/>
        </w:rPr>
        <w:t xml:space="preserve"> </w:t>
      </w:r>
      <w:r w:rsidR="0084344C" w:rsidRPr="003B2EED">
        <w:rPr>
          <w:rFonts w:ascii="Arial" w:hAnsi="Arial" w:cs="Arial"/>
          <w:sz w:val="32"/>
          <w:szCs w:val="32"/>
        </w:rPr>
        <w:t xml:space="preserve">  </w:t>
      </w:r>
    </w:p>
    <w:p w:rsidR="001A56D7" w:rsidRPr="003B2EED" w:rsidRDefault="001A56D7" w:rsidP="003B2EED">
      <w:pPr>
        <w:spacing w:line="480" w:lineRule="auto"/>
        <w:jc w:val="both"/>
        <w:rPr>
          <w:rFonts w:ascii="Arial" w:hAnsi="Arial" w:cs="Arial"/>
          <w:sz w:val="32"/>
          <w:szCs w:val="32"/>
        </w:rPr>
      </w:pPr>
      <w:r w:rsidRPr="003B2EED">
        <w:rPr>
          <w:rFonts w:ascii="Arial" w:hAnsi="Arial" w:cs="Arial"/>
          <w:sz w:val="32"/>
          <w:szCs w:val="32"/>
        </w:rPr>
        <w:t xml:space="preserve">With respect to </w:t>
      </w:r>
      <w:r w:rsidR="00D97CE6" w:rsidRPr="003B2EED">
        <w:rPr>
          <w:rFonts w:ascii="Arial" w:hAnsi="Arial" w:cs="Arial"/>
          <w:sz w:val="32"/>
          <w:szCs w:val="32"/>
        </w:rPr>
        <w:t xml:space="preserve">onshore production, </w:t>
      </w:r>
      <w:r w:rsidR="004116A9" w:rsidRPr="003B2EED">
        <w:rPr>
          <w:rFonts w:ascii="Arial" w:hAnsi="Arial" w:cs="Arial"/>
          <w:sz w:val="32"/>
          <w:szCs w:val="32"/>
        </w:rPr>
        <w:t>efforts also</w:t>
      </w:r>
      <w:r w:rsidR="00D97CE6" w:rsidRPr="003B2EED">
        <w:rPr>
          <w:rFonts w:ascii="Arial" w:hAnsi="Arial" w:cs="Arial"/>
          <w:sz w:val="32"/>
          <w:szCs w:val="32"/>
        </w:rPr>
        <w:t xml:space="preserve"> need to be focused on increasing production on land</w:t>
      </w:r>
      <w:r w:rsidR="004116A9" w:rsidRPr="003B2EED">
        <w:rPr>
          <w:rFonts w:ascii="Arial" w:hAnsi="Arial" w:cs="Arial"/>
          <w:sz w:val="32"/>
          <w:szCs w:val="32"/>
        </w:rPr>
        <w:t>, because i</w:t>
      </w:r>
      <w:r w:rsidR="007D08AE" w:rsidRPr="003B2EED">
        <w:rPr>
          <w:rFonts w:ascii="Arial" w:hAnsi="Arial" w:cs="Arial"/>
          <w:sz w:val="32"/>
          <w:szCs w:val="32"/>
        </w:rPr>
        <w:t xml:space="preserve">t is onshore production that creates greater levels of employment when compared to offshore production, and generates a product with a higher local value-add. </w:t>
      </w:r>
      <w:r w:rsidR="003955E3" w:rsidRPr="003B2EED">
        <w:rPr>
          <w:rFonts w:ascii="Arial" w:hAnsi="Arial" w:cs="Arial"/>
          <w:sz w:val="32"/>
          <w:szCs w:val="32"/>
        </w:rPr>
        <w:t xml:space="preserve">In this regard, I would like to see </w:t>
      </w:r>
      <w:r w:rsidR="003A342F" w:rsidRPr="003B2EED">
        <w:rPr>
          <w:rFonts w:ascii="Arial" w:hAnsi="Arial" w:cs="Arial"/>
          <w:sz w:val="32"/>
          <w:szCs w:val="32"/>
        </w:rPr>
        <w:t>Heritage expand its lease operatorship programme and undertake a land drilling campaign of its own.</w:t>
      </w:r>
    </w:p>
    <w:p w:rsidR="002D1B98" w:rsidRPr="003B2EED" w:rsidRDefault="001B794E" w:rsidP="003B2EED">
      <w:pPr>
        <w:spacing w:line="480" w:lineRule="auto"/>
        <w:jc w:val="both"/>
        <w:rPr>
          <w:rFonts w:ascii="Arial" w:hAnsi="Arial" w:cs="Arial"/>
          <w:sz w:val="32"/>
          <w:szCs w:val="32"/>
        </w:rPr>
      </w:pPr>
      <w:r w:rsidRPr="003B2EED">
        <w:rPr>
          <w:rFonts w:ascii="Arial" w:hAnsi="Arial" w:cs="Arial"/>
          <w:sz w:val="32"/>
          <w:szCs w:val="32"/>
        </w:rPr>
        <w:t xml:space="preserve">While the success of Heritage has been espoused many times by the Minister of Energy, it becomes no less impressive each time it </w:t>
      </w:r>
      <w:r w:rsidRPr="003B2EED">
        <w:rPr>
          <w:rFonts w:ascii="Arial" w:hAnsi="Arial" w:cs="Arial"/>
          <w:sz w:val="32"/>
          <w:szCs w:val="32"/>
        </w:rPr>
        <w:lastRenderedPageBreak/>
        <w:t>is repeated. Heritage has delivered a stellar performance since its inception, and continues to do so time and time again.</w:t>
      </w:r>
    </w:p>
    <w:p w:rsidR="00B46721" w:rsidRPr="003B2EED" w:rsidRDefault="001B794E" w:rsidP="003B2EED">
      <w:pPr>
        <w:spacing w:line="480" w:lineRule="auto"/>
        <w:jc w:val="both"/>
        <w:rPr>
          <w:rFonts w:ascii="Arial" w:hAnsi="Arial" w:cs="Arial"/>
          <w:sz w:val="32"/>
          <w:szCs w:val="32"/>
        </w:rPr>
      </w:pPr>
      <w:r w:rsidRPr="003B2EED">
        <w:rPr>
          <w:rFonts w:ascii="Arial" w:hAnsi="Arial" w:cs="Arial"/>
          <w:sz w:val="32"/>
          <w:szCs w:val="32"/>
        </w:rPr>
        <w:t>We have witnessed a remarkable turnaround in exploration and production operations</w:t>
      </w:r>
      <w:r w:rsidR="003D259F" w:rsidRPr="003B2EED">
        <w:rPr>
          <w:rFonts w:ascii="Arial" w:hAnsi="Arial" w:cs="Arial"/>
          <w:sz w:val="32"/>
          <w:szCs w:val="32"/>
        </w:rPr>
        <w:t xml:space="preserve"> since the restructuring of Petrotrin</w:t>
      </w:r>
      <w:r w:rsidRPr="003B2EED">
        <w:rPr>
          <w:rFonts w:ascii="Arial" w:hAnsi="Arial" w:cs="Arial"/>
          <w:sz w:val="32"/>
          <w:szCs w:val="32"/>
        </w:rPr>
        <w:t xml:space="preserve">. In its short existence, Heritage was able to increase </w:t>
      </w:r>
      <w:r w:rsidR="00C81A16" w:rsidRPr="003B2EED">
        <w:rPr>
          <w:rFonts w:ascii="Arial" w:hAnsi="Arial" w:cs="Arial"/>
          <w:sz w:val="32"/>
          <w:szCs w:val="32"/>
        </w:rPr>
        <w:t xml:space="preserve">liquids </w:t>
      </w:r>
      <w:r w:rsidRPr="003B2EED">
        <w:rPr>
          <w:rFonts w:ascii="Arial" w:hAnsi="Arial" w:cs="Arial"/>
          <w:sz w:val="32"/>
          <w:szCs w:val="32"/>
        </w:rPr>
        <w:t>production to</w:t>
      </w:r>
      <w:r w:rsidR="00C81A16" w:rsidRPr="003B2EED">
        <w:rPr>
          <w:rFonts w:ascii="Arial" w:hAnsi="Arial" w:cs="Arial"/>
          <w:sz w:val="32"/>
          <w:szCs w:val="32"/>
        </w:rPr>
        <w:t xml:space="preserve"> an average of 35,000</w:t>
      </w:r>
      <w:r w:rsidRPr="003B2EED">
        <w:rPr>
          <w:rFonts w:ascii="Arial" w:hAnsi="Arial" w:cs="Arial"/>
          <w:sz w:val="32"/>
          <w:szCs w:val="32"/>
        </w:rPr>
        <w:t xml:space="preserve"> </w:t>
      </w:r>
      <w:r w:rsidR="00C81A16" w:rsidRPr="003B2EED">
        <w:rPr>
          <w:rFonts w:ascii="Arial" w:hAnsi="Arial" w:cs="Arial"/>
          <w:sz w:val="32"/>
          <w:szCs w:val="32"/>
        </w:rPr>
        <w:t>barrels of oil per day in 2020, from Petrotrin’s 2017</w:t>
      </w:r>
      <w:r w:rsidR="008679F7" w:rsidRPr="003B2EED">
        <w:rPr>
          <w:rFonts w:ascii="Arial" w:hAnsi="Arial" w:cs="Arial"/>
          <w:sz w:val="32"/>
          <w:szCs w:val="32"/>
        </w:rPr>
        <w:t xml:space="preserve"> production</w:t>
      </w:r>
      <w:r w:rsidR="00C81A16" w:rsidRPr="003B2EED">
        <w:rPr>
          <w:rFonts w:ascii="Arial" w:hAnsi="Arial" w:cs="Arial"/>
          <w:sz w:val="32"/>
          <w:szCs w:val="32"/>
        </w:rPr>
        <w:t xml:space="preserve"> levels of 21,500 barrels of oil per day</w:t>
      </w:r>
      <w:r w:rsidR="008679F7" w:rsidRPr="003B2EED">
        <w:rPr>
          <w:rFonts w:ascii="Arial" w:hAnsi="Arial" w:cs="Arial"/>
          <w:sz w:val="32"/>
          <w:szCs w:val="32"/>
        </w:rPr>
        <w:t>.</w:t>
      </w:r>
      <w:r w:rsidR="00923015" w:rsidRPr="003B2EED">
        <w:rPr>
          <w:rFonts w:ascii="Arial" w:hAnsi="Arial" w:cs="Arial"/>
          <w:sz w:val="32"/>
          <w:szCs w:val="32"/>
        </w:rPr>
        <w:t xml:space="preserve"> </w:t>
      </w:r>
      <w:r w:rsidR="008B76A4" w:rsidRPr="003B2EED">
        <w:rPr>
          <w:rFonts w:ascii="Arial" w:hAnsi="Arial" w:cs="Arial"/>
          <w:sz w:val="32"/>
          <w:szCs w:val="32"/>
        </w:rPr>
        <w:t>In December</w:t>
      </w:r>
      <w:r w:rsidR="003F2191" w:rsidRPr="003B2EED">
        <w:rPr>
          <w:rFonts w:ascii="Arial" w:hAnsi="Arial" w:cs="Arial"/>
          <w:sz w:val="32"/>
          <w:szCs w:val="32"/>
        </w:rPr>
        <w:t xml:space="preserve"> 2020, Heritage’s production reached as high as </w:t>
      </w:r>
      <w:r w:rsidR="008B76A4" w:rsidRPr="003B2EED">
        <w:rPr>
          <w:rFonts w:ascii="Arial" w:hAnsi="Arial" w:cs="Arial"/>
          <w:sz w:val="32"/>
          <w:szCs w:val="32"/>
        </w:rPr>
        <w:t>36</w:t>
      </w:r>
      <w:r w:rsidR="003F2191" w:rsidRPr="003B2EED">
        <w:rPr>
          <w:rFonts w:ascii="Arial" w:hAnsi="Arial" w:cs="Arial"/>
          <w:sz w:val="32"/>
          <w:szCs w:val="32"/>
        </w:rPr>
        <w:t>,000 barrels of oil per day</w:t>
      </w:r>
      <w:r w:rsidR="008B76A4" w:rsidRPr="003B2EED">
        <w:rPr>
          <w:rFonts w:ascii="Arial" w:hAnsi="Arial" w:cs="Arial"/>
          <w:sz w:val="32"/>
          <w:szCs w:val="32"/>
        </w:rPr>
        <w:t>. Increased production</w:t>
      </w:r>
      <w:r w:rsidR="003F2191" w:rsidRPr="003B2EED">
        <w:rPr>
          <w:rFonts w:ascii="Arial" w:hAnsi="Arial" w:cs="Arial"/>
          <w:sz w:val="32"/>
          <w:szCs w:val="32"/>
        </w:rPr>
        <w:t xml:space="preserve"> </w:t>
      </w:r>
      <w:r w:rsidR="008B76A4" w:rsidRPr="003B2EED">
        <w:rPr>
          <w:rFonts w:ascii="Arial" w:hAnsi="Arial" w:cs="Arial"/>
          <w:sz w:val="32"/>
          <w:szCs w:val="32"/>
        </w:rPr>
        <w:t xml:space="preserve">was the result of </w:t>
      </w:r>
      <w:r w:rsidR="00D5205F" w:rsidRPr="003B2EED">
        <w:rPr>
          <w:rFonts w:ascii="Arial" w:hAnsi="Arial" w:cs="Arial"/>
          <w:sz w:val="32"/>
          <w:szCs w:val="32"/>
        </w:rPr>
        <w:t>the considerable</w:t>
      </w:r>
      <w:r w:rsidR="008B76A4" w:rsidRPr="003B2EED">
        <w:rPr>
          <w:rFonts w:ascii="Arial" w:hAnsi="Arial" w:cs="Arial"/>
          <w:sz w:val="32"/>
          <w:szCs w:val="32"/>
        </w:rPr>
        <w:t xml:space="preserve"> work put in by Heritage, including</w:t>
      </w:r>
      <w:r w:rsidR="003F2191" w:rsidRPr="003B2EED">
        <w:rPr>
          <w:rFonts w:ascii="Arial" w:hAnsi="Arial" w:cs="Arial"/>
          <w:sz w:val="32"/>
          <w:szCs w:val="32"/>
        </w:rPr>
        <w:t xml:space="preserve"> the completion of workovers and gas lift installation on offshore wells.</w:t>
      </w:r>
      <w:r w:rsidR="00E574E8" w:rsidRPr="003B2EED">
        <w:rPr>
          <w:rFonts w:ascii="Arial" w:hAnsi="Arial" w:cs="Arial"/>
          <w:sz w:val="32"/>
          <w:szCs w:val="32"/>
        </w:rPr>
        <w:t xml:space="preserve"> </w:t>
      </w:r>
    </w:p>
    <w:p w:rsidR="003F2191" w:rsidRPr="003B2EED" w:rsidRDefault="00E574E8" w:rsidP="003B2EED">
      <w:pPr>
        <w:spacing w:line="480" w:lineRule="auto"/>
        <w:jc w:val="both"/>
        <w:rPr>
          <w:rFonts w:ascii="Arial" w:hAnsi="Arial" w:cs="Arial"/>
          <w:sz w:val="32"/>
          <w:szCs w:val="32"/>
        </w:rPr>
      </w:pPr>
      <w:r w:rsidRPr="003B2EED">
        <w:rPr>
          <w:rFonts w:ascii="Arial" w:hAnsi="Arial" w:cs="Arial"/>
          <w:sz w:val="32"/>
          <w:szCs w:val="32"/>
        </w:rPr>
        <w:t>Just imagine that during a year with two black swan events, namely a pandemic and historica</w:t>
      </w:r>
      <w:r w:rsidR="00B46721" w:rsidRPr="003B2EED">
        <w:rPr>
          <w:rFonts w:ascii="Arial" w:hAnsi="Arial" w:cs="Arial"/>
          <w:sz w:val="32"/>
          <w:szCs w:val="32"/>
        </w:rPr>
        <w:t>lly low</w:t>
      </w:r>
      <w:r w:rsidRPr="003B2EED">
        <w:rPr>
          <w:rFonts w:ascii="Arial" w:hAnsi="Arial" w:cs="Arial"/>
          <w:sz w:val="32"/>
          <w:szCs w:val="32"/>
        </w:rPr>
        <w:t xml:space="preserve"> energy prices</w:t>
      </w:r>
      <w:r w:rsidR="00B46721" w:rsidRPr="003B2EED">
        <w:rPr>
          <w:rFonts w:ascii="Arial" w:hAnsi="Arial" w:cs="Arial"/>
          <w:sz w:val="32"/>
          <w:szCs w:val="32"/>
        </w:rPr>
        <w:t xml:space="preserve"> dipping into negative</w:t>
      </w:r>
      <w:r w:rsidR="00D5205F" w:rsidRPr="003B2EED">
        <w:rPr>
          <w:rFonts w:ascii="Arial" w:hAnsi="Arial" w:cs="Arial"/>
          <w:sz w:val="32"/>
          <w:szCs w:val="32"/>
        </w:rPr>
        <w:t xml:space="preserve"> territory</w:t>
      </w:r>
      <w:r w:rsidRPr="003B2EED">
        <w:rPr>
          <w:rFonts w:ascii="Arial" w:hAnsi="Arial" w:cs="Arial"/>
          <w:sz w:val="32"/>
          <w:szCs w:val="32"/>
        </w:rPr>
        <w:t xml:space="preserve">, Heritage was able to maintain production levels above that of </w:t>
      </w:r>
      <w:r w:rsidR="00D5205F" w:rsidRPr="003B2EED">
        <w:rPr>
          <w:rFonts w:ascii="Arial" w:hAnsi="Arial" w:cs="Arial"/>
          <w:sz w:val="32"/>
          <w:szCs w:val="32"/>
        </w:rPr>
        <w:t xml:space="preserve">the former </w:t>
      </w:r>
      <w:r w:rsidRPr="003B2EED">
        <w:rPr>
          <w:rFonts w:ascii="Arial" w:hAnsi="Arial" w:cs="Arial"/>
          <w:sz w:val="32"/>
          <w:szCs w:val="32"/>
        </w:rPr>
        <w:t xml:space="preserve">Petrotrin. Heritage had been doing so well prior to the pandemic that the company was in a position to store its production </w:t>
      </w:r>
      <w:r w:rsidR="00D5205F" w:rsidRPr="003B2EED">
        <w:rPr>
          <w:rFonts w:ascii="Arial" w:hAnsi="Arial" w:cs="Arial"/>
          <w:sz w:val="32"/>
          <w:szCs w:val="32"/>
        </w:rPr>
        <w:t>during the period of lowest market prices</w:t>
      </w:r>
      <w:r w:rsidRPr="003B2EED">
        <w:rPr>
          <w:rFonts w:ascii="Arial" w:hAnsi="Arial" w:cs="Arial"/>
          <w:sz w:val="32"/>
          <w:szCs w:val="32"/>
        </w:rPr>
        <w:t xml:space="preserve">, </w:t>
      </w:r>
      <w:r w:rsidR="008B76A4" w:rsidRPr="003B2EED">
        <w:rPr>
          <w:rFonts w:ascii="Arial" w:hAnsi="Arial" w:cs="Arial"/>
          <w:sz w:val="32"/>
          <w:szCs w:val="32"/>
        </w:rPr>
        <w:lastRenderedPageBreak/>
        <w:t>while still meeting debt commitments and the costs of its operations.</w:t>
      </w:r>
    </w:p>
    <w:p w:rsidR="00CB1603" w:rsidRPr="003B2EED" w:rsidRDefault="00923015" w:rsidP="003B2EED">
      <w:pPr>
        <w:spacing w:line="480" w:lineRule="auto"/>
        <w:jc w:val="both"/>
        <w:rPr>
          <w:rFonts w:ascii="Arial" w:hAnsi="Arial" w:cs="Arial"/>
          <w:sz w:val="32"/>
          <w:szCs w:val="32"/>
        </w:rPr>
      </w:pPr>
      <w:r w:rsidRPr="003B2EED">
        <w:rPr>
          <w:rFonts w:ascii="Arial" w:hAnsi="Arial" w:cs="Arial"/>
          <w:sz w:val="32"/>
          <w:szCs w:val="32"/>
        </w:rPr>
        <w:t xml:space="preserve">In addition to increasing production, Heritage </w:t>
      </w:r>
      <w:r w:rsidR="00D0142E" w:rsidRPr="003B2EED">
        <w:rPr>
          <w:rFonts w:ascii="Arial" w:hAnsi="Arial" w:cs="Arial"/>
          <w:sz w:val="32"/>
          <w:szCs w:val="32"/>
        </w:rPr>
        <w:t>has also been able to</w:t>
      </w:r>
      <w:r w:rsidRPr="003B2EED">
        <w:rPr>
          <w:rFonts w:ascii="Arial" w:hAnsi="Arial" w:cs="Arial"/>
          <w:sz w:val="32"/>
          <w:szCs w:val="32"/>
        </w:rPr>
        <w:t xml:space="preserve"> </w:t>
      </w:r>
      <w:r w:rsidR="00102A0C" w:rsidRPr="003B2EED">
        <w:rPr>
          <w:rFonts w:ascii="Arial" w:hAnsi="Arial" w:cs="Arial"/>
          <w:sz w:val="32"/>
          <w:szCs w:val="32"/>
        </w:rPr>
        <w:t xml:space="preserve">achieve lower </w:t>
      </w:r>
      <w:r w:rsidR="0064657F" w:rsidRPr="003B2EED">
        <w:rPr>
          <w:rFonts w:ascii="Arial" w:hAnsi="Arial" w:cs="Arial"/>
          <w:sz w:val="32"/>
          <w:szCs w:val="32"/>
        </w:rPr>
        <w:t xml:space="preserve">  </w:t>
      </w:r>
      <w:r w:rsidR="00102A0C" w:rsidRPr="003B2EED">
        <w:rPr>
          <w:rFonts w:ascii="Arial" w:hAnsi="Arial" w:cs="Arial"/>
          <w:sz w:val="32"/>
          <w:szCs w:val="32"/>
        </w:rPr>
        <w:t>lifting costs than its predecessor</w:t>
      </w:r>
      <w:r w:rsidR="007E2D9C" w:rsidRPr="003B2EED">
        <w:rPr>
          <w:rFonts w:ascii="Arial" w:hAnsi="Arial" w:cs="Arial"/>
          <w:sz w:val="32"/>
          <w:szCs w:val="32"/>
        </w:rPr>
        <w:t>, in the range of US$28</w:t>
      </w:r>
      <w:r w:rsidR="00906CBD" w:rsidRPr="003B2EED">
        <w:rPr>
          <w:rFonts w:ascii="Arial" w:hAnsi="Arial" w:cs="Arial"/>
          <w:sz w:val="32"/>
          <w:szCs w:val="32"/>
        </w:rPr>
        <w:t xml:space="preserve"> per barrel, compared to US$35-38 under Petrotrin. </w:t>
      </w:r>
      <w:r w:rsidR="00DB3F1E" w:rsidRPr="003B2EED">
        <w:rPr>
          <w:rFonts w:ascii="Arial" w:hAnsi="Arial" w:cs="Arial"/>
          <w:sz w:val="32"/>
          <w:szCs w:val="32"/>
        </w:rPr>
        <w:t>With the combination of increased production and reduced costs, it comes as no surprise that Heritage has been able to turn a profit in its first two years of operation, to the tune of $1.4 billion and $884 million for financial years 2019 and 2020 respectively</w:t>
      </w:r>
      <w:r w:rsidR="00815367" w:rsidRPr="003B2EED">
        <w:rPr>
          <w:rFonts w:ascii="Arial" w:hAnsi="Arial" w:cs="Arial"/>
          <w:sz w:val="32"/>
          <w:szCs w:val="32"/>
        </w:rPr>
        <w:t>, whilst contributing almost $2 billion in taxes and royalties to the State.</w:t>
      </w:r>
      <w:r w:rsidR="00CB1603" w:rsidRPr="003B2EED">
        <w:rPr>
          <w:rFonts w:ascii="Arial" w:hAnsi="Arial" w:cs="Arial"/>
          <w:sz w:val="32"/>
          <w:szCs w:val="32"/>
        </w:rPr>
        <w:t xml:space="preserve"> </w:t>
      </w:r>
    </w:p>
    <w:p w:rsidR="001B794E" w:rsidRPr="003B2EED" w:rsidRDefault="00CB1603" w:rsidP="003B2EED">
      <w:pPr>
        <w:spacing w:line="480" w:lineRule="auto"/>
        <w:jc w:val="both"/>
        <w:rPr>
          <w:rFonts w:ascii="Arial" w:hAnsi="Arial" w:cs="Arial"/>
          <w:sz w:val="32"/>
          <w:szCs w:val="32"/>
        </w:rPr>
      </w:pPr>
      <w:r w:rsidRPr="003B2EED">
        <w:rPr>
          <w:rFonts w:ascii="Arial" w:hAnsi="Arial" w:cs="Arial"/>
          <w:sz w:val="32"/>
          <w:szCs w:val="32"/>
        </w:rPr>
        <w:t xml:space="preserve">Heritage has set a vision for itself, “to be a source of pride for Trinidad and Tobago by focusing on profitability, operational excellence and world class talent as a performance driven oil and </w:t>
      </w:r>
      <w:proofErr w:type="gramStart"/>
      <w:r w:rsidRPr="003B2EED">
        <w:rPr>
          <w:rFonts w:ascii="Arial" w:hAnsi="Arial" w:cs="Arial"/>
          <w:sz w:val="32"/>
          <w:szCs w:val="32"/>
        </w:rPr>
        <w:t>gas company</w:t>
      </w:r>
      <w:proofErr w:type="gramEnd"/>
      <w:r w:rsidRPr="003B2EED">
        <w:rPr>
          <w:rFonts w:ascii="Arial" w:hAnsi="Arial" w:cs="Arial"/>
          <w:sz w:val="32"/>
          <w:szCs w:val="32"/>
        </w:rPr>
        <w:t xml:space="preserve">”, and by all accounts thus far, Heritage </w:t>
      </w:r>
      <w:r w:rsidR="00EF35A3" w:rsidRPr="003B2EED">
        <w:rPr>
          <w:rFonts w:ascii="Arial" w:hAnsi="Arial" w:cs="Arial"/>
          <w:sz w:val="32"/>
          <w:szCs w:val="32"/>
        </w:rPr>
        <w:t xml:space="preserve">is </w:t>
      </w:r>
      <w:r w:rsidRPr="003B2EED">
        <w:rPr>
          <w:rFonts w:ascii="Arial" w:hAnsi="Arial" w:cs="Arial"/>
          <w:sz w:val="32"/>
          <w:szCs w:val="32"/>
        </w:rPr>
        <w:t>reali</w:t>
      </w:r>
      <w:r w:rsidR="00EF35A3" w:rsidRPr="003B2EED">
        <w:rPr>
          <w:rFonts w:ascii="Arial" w:hAnsi="Arial" w:cs="Arial"/>
          <w:sz w:val="32"/>
          <w:szCs w:val="32"/>
        </w:rPr>
        <w:t>zing</w:t>
      </w:r>
      <w:r w:rsidRPr="003B2EED">
        <w:rPr>
          <w:rFonts w:ascii="Arial" w:hAnsi="Arial" w:cs="Arial"/>
          <w:sz w:val="32"/>
          <w:szCs w:val="32"/>
        </w:rPr>
        <w:t xml:space="preserve"> this vision.</w:t>
      </w:r>
      <w:r w:rsidR="005503B6" w:rsidRPr="003B2EED">
        <w:rPr>
          <w:rFonts w:ascii="Arial" w:hAnsi="Arial" w:cs="Arial"/>
          <w:sz w:val="32"/>
          <w:szCs w:val="32"/>
        </w:rPr>
        <w:t xml:space="preserve"> I applaud the members of the board</w:t>
      </w:r>
      <w:r w:rsidR="00C61CA4" w:rsidRPr="003B2EED">
        <w:rPr>
          <w:rFonts w:ascii="Arial" w:hAnsi="Arial" w:cs="Arial"/>
          <w:sz w:val="32"/>
          <w:szCs w:val="32"/>
        </w:rPr>
        <w:t>, the CEO</w:t>
      </w:r>
      <w:r w:rsidR="005503B6" w:rsidRPr="003B2EED">
        <w:rPr>
          <w:rFonts w:ascii="Arial" w:hAnsi="Arial" w:cs="Arial"/>
          <w:sz w:val="32"/>
          <w:szCs w:val="32"/>
        </w:rPr>
        <w:t xml:space="preserve"> </w:t>
      </w:r>
      <w:r w:rsidR="00A81C3D" w:rsidRPr="003B2EED">
        <w:rPr>
          <w:rFonts w:ascii="Arial" w:hAnsi="Arial" w:cs="Arial"/>
          <w:sz w:val="32"/>
          <w:szCs w:val="32"/>
        </w:rPr>
        <w:t>and the management team for your astute leadership, focus and pragmatism in steering the company</w:t>
      </w:r>
      <w:r w:rsidR="00C61CA4" w:rsidRPr="003B2EED">
        <w:rPr>
          <w:rFonts w:ascii="Arial" w:hAnsi="Arial" w:cs="Arial"/>
          <w:sz w:val="32"/>
          <w:szCs w:val="32"/>
        </w:rPr>
        <w:t xml:space="preserve"> to where it is today</w:t>
      </w:r>
      <w:r w:rsidR="00A81C3D" w:rsidRPr="003B2EED">
        <w:rPr>
          <w:rFonts w:ascii="Arial" w:hAnsi="Arial" w:cs="Arial"/>
          <w:sz w:val="32"/>
          <w:szCs w:val="32"/>
        </w:rPr>
        <w:t>.</w:t>
      </w:r>
    </w:p>
    <w:p w:rsidR="00C61CA4" w:rsidRPr="003B2EED" w:rsidRDefault="00C61CA4" w:rsidP="003B2EED">
      <w:pPr>
        <w:spacing w:line="480" w:lineRule="auto"/>
        <w:jc w:val="both"/>
        <w:rPr>
          <w:rFonts w:ascii="Arial" w:hAnsi="Arial" w:cs="Arial"/>
          <w:sz w:val="32"/>
          <w:szCs w:val="32"/>
        </w:rPr>
      </w:pPr>
      <w:r w:rsidRPr="003B2EED">
        <w:rPr>
          <w:rFonts w:ascii="Arial" w:hAnsi="Arial" w:cs="Arial"/>
          <w:sz w:val="32"/>
          <w:szCs w:val="32"/>
        </w:rPr>
        <w:lastRenderedPageBreak/>
        <w:t xml:space="preserve">An integral part of the management of the company is recognizing opportunities and forming </w:t>
      </w:r>
      <w:r w:rsidR="00E41E9A" w:rsidRPr="003B2EED">
        <w:rPr>
          <w:rFonts w:ascii="Arial" w:hAnsi="Arial" w:cs="Arial"/>
          <w:sz w:val="32"/>
          <w:szCs w:val="32"/>
        </w:rPr>
        <w:t>synergetic</w:t>
      </w:r>
      <w:r w:rsidRPr="003B2EED">
        <w:rPr>
          <w:rFonts w:ascii="Arial" w:hAnsi="Arial" w:cs="Arial"/>
          <w:sz w:val="32"/>
          <w:szCs w:val="32"/>
        </w:rPr>
        <w:t xml:space="preserve"> partnerships</w:t>
      </w:r>
      <w:r w:rsidR="00111867" w:rsidRPr="003B2EED">
        <w:rPr>
          <w:rFonts w:ascii="Arial" w:hAnsi="Arial" w:cs="Arial"/>
          <w:sz w:val="32"/>
          <w:szCs w:val="32"/>
        </w:rPr>
        <w:t>, and</w:t>
      </w:r>
      <w:r w:rsidRPr="003B2EED">
        <w:rPr>
          <w:rFonts w:ascii="Arial" w:hAnsi="Arial" w:cs="Arial"/>
          <w:sz w:val="32"/>
          <w:szCs w:val="32"/>
        </w:rPr>
        <w:t xml:space="preserve"> I believe that Heritage has found an equally nimble</w:t>
      </w:r>
      <w:r w:rsidR="00775834" w:rsidRPr="003B2EED">
        <w:rPr>
          <w:rFonts w:ascii="Arial" w:hAnsi="Arial" w:cs="Arial"/>
          <w:sz w:val="32"/>
          <w:szCs w:val="32"/>
        </w:rPr>
        <w:t>, innovative and resilient partner in EOG.</w:t>
      </w:r>
      <w:r w:rsidR="007A0CE6" w:rsidRPr="003B2EED">
        <w:rPr>
          <w:rFonts w:ascii="Arial" w:hAnsi="Arial" w:cs="Arial"/>
          <w:sz w:val="32"/>
          <w:szCs w:val="32"/>
        </w:rPr>
        <w:t xml:space="preserve"> In its past projects such as the </w:t>
      </w:r>
      <w:r w:rsidR="00DE41E8" w:rsidRPr="003B2EED">
        <w:rPr>
          <w:rFonts w:ascii="Arial" w:hAnsi="Arial" w:cs="Arial"/>
          <w:sz w:val="32"/>
          <w:szCs w:val="32"/>
        </w:rPr>
        <w:t>South East Coast Consortium (SECC) joint venture, EOG has proven</w:t>
      </w:r>
      <w:r w:rsidR="00D5205F" w:rsidRPr="003B2EED">
        <w:rPr>
          <w:rFonts w:ascii="Arial" w:hAnsi="Arial" w:cs="Arial"/>
          <w:sz w:val="32"/>
          <w:szCs w:val="32"/>
        </w:rPr>
        <w:t xml:space="preserve"> to be a valuable partner for Heritage, clearly showcasing</w:t>
      </w:r>
      <w:r w:rsidR="00DE41E8" w:rsidRPr="003B2EED">
        <w:rPr>
          <w:rFonts w:ascii="Arial" w:hAnsi="Arial" w:cs="Arial"/>
          <w:sz w:val="32"/>
          <w:szCs w:val="32"/>
        </w:rPr>
        <w:t xml:space="preserve"> its ability to deliver on time and on target</w:t>
      </w:r>
      <w:r w:rsidR="008B6C4A" w:rsidRPr="003B2EED">
        <w:rPr>
          <w:rFonts w:ascii="Arial" w:hAnsi="Arial" w:cs="Arial"/>
          <w:sz w:val="32"/>
          <w:szCs w:val="32"/>
        </w:rPr>
        <w:t xml:space="preserve">, </w:t>
      </w:r>
      <w:r w:rsidR="00263CFD" w:rsidRPr="003B2EED">
        <w:rPr>
          <w:rFonts w:ascii="Arial" w:hAnsi="Arial" w:cs="Arial"/>
          <w:sz w:val="32"/>
          <w:szCs w:val="32"/>
        </w:rPr>
        <w:t>while</w:t>
      </w:r>
      <w:r w:rsidR="008B6C4A" w:rsidRPr="003B2EED">
        <w:rPr>
          <w:rFonts w:ascii="Arial" w:hAnsi="Arial" w:cs="Arial"/>
          <w:sz w:val="32"/>
          <w:szCs w:val="32"/>
        </w:rPr>
        <w:t xml:space="preserve"> demonstrating </w:t>
      </w:r>
      <w:r w:rsidR="003D6F99" w:rsidRPr="003B2EED">
        <w:rPr>
          <w:rFonts w:ascii="Arial" w:hAnsi="Arial" w:cs="Arial"/>
          <w:sz w:val="32"/>
          <w:szCs w:val="32"/>
        </w:rPr>
        <w:t>subsurface competency</w:t>
      </w:r>
      <w:r w:rsidR="007E5181" w:rsidRPr="003B2EED">
        <w:rPr>
          <w:rFonts w:ascii="Arial" w:hAnsi="Arial" w:cs="Arial"/>
          <w:sz w:val="32"/>
          <w:szCs w:val="32"/>
        </w:rPr>
        <w:t xml:space="preserve">, </w:t>
      </w:r>
      <w:r w:rsidR="00C61646" w:rsidRPr="003B2EED">
        <w:rPr>
          <w:rFonts w:ascii="Arial" w:hAnsi="Arial" w:cs="Arial"/>
          <w:sz w:val="32"/>
          <w:szCs w:val="32"/>
        </w:rPr>
        <w:t>and efficient well planning and execution</w:t>
      </w:r>
      <w:r w:rsidR="003D6F99" w:rsidRPr="003B2EED">
        <w:rPr>
          <w:rFonts w:ascii="Arial" w:hAnsi="Arial" w:cs="Arial"/>
          <w:sz w:val="32"/>
          <w:szCs w:val="32"/>
        </w:rPr>
        <w:t>.</w:t>
      </w:r>
      <w:r w:rsidR="00D60C13" w:rsidRPr="003B2EED">
        <w:rPr>
          <w:rFonts w:ascii="Arial" w:hAnsi="Arial" w:cs="Arial"/>
          <w:sz w:val="32"/>
          <w:szCs w:val="32"/>
        </w:rPr>
        <w:t xml:space="preserve"> In its almost thirty-year history in Trinidad and Tobago, EOG has consistently </w:t>
      </w:r>
      <w:r w:rsidR="00A93971" w:rsidRPr="003B2EED">
        <w:rPr>
          <w:rFonts w:ascii="Arial" w:hAnsi="Arial" w:cs="Arial"/>
          <w:sz w:val="32"/>
          <w:szCs w:val="32"/>
        </w:rPr>
        <w:t>signaled</w:t>
      </w:r>
      <w:r w:rsidR="00D60C13" w:rsidRPr="003B2EED">
        <w:rPr>
          <w:rFonts w:ascii="Arial" w:hAnsi="Arial" w:cs="Arial"/>
          <w:sz w:val="32"/>
          <w:szCs w:val="32"/>
        </w:rPr>
        <w:t xml:space="preserve"> that it is capable of setting and achieving aggressive targets, at relatively low costs.</w:t>
      </w:r>
    </w:p>
    <w:p w:rsidR="00313049" w:rsidRPr="003B2EED" w:rsidRDefault="00980DCE" w:rsidP="003B2EED">
      <w:pPr>
        <w:spacing w:line="480" w:lineRule="auto"/>
        <w:jc w:val="both"/>
        <w:rPr>
          <w:rFonts w:ascii="Arial" w:hAnsi="Arial" w:cs="Arial"/>
          <w:sz w:val="32"/>
          <w:szCs w:val="32"/>
        </w:rPr>
      </w:pPr>
      <w:r w:rsidRPr="003B2EED">
        <w:rPr>
          <w:rFonts w:ascii="Arial" w:hAnsi="Arial" w:cs="Arial"/>
          <w:sz w:val="32"/>
          <w:szCs w:val="32"/>
        </w:rPr>
        <w:t>I expect t</w:t>
      </w:r>
      <w:r w:rsidR="007E5913" w:rsidRPr="003B2EED">
        <w:rPr>
          <w:rFonts w:ascii="Arial" w:hAnsi="Arial" w:cs="Arial"/>
          <w:sz w:val="32"/>
          <w:szCs w:val="32"/>
        </w:rPr>
        <w:t xml:space="preserve">his partnership between </w:t>
      </w:r>
      <w:r w:rsidRPr="003B2EED">
        <w:rPr>
          <w:rFonts w:ascii="Arial" w:hAnsi="Arial" w:cs="Arial"/>
          <w:sz w:val="32"/>
          <w:szCs w:val="32"/>
        </w:rPr>
        <w:t xml:space="preserve">Heritage and EOG to be a fruitful one, given the alignment of the strategic </w:t>
      </w:r>
      <w:r w:rsidR="00525CE4" w:rsidRPr="003B2EED">
        <w:rPr>
          <w:rFonts w:ascii="Arial" w:hAnsi="Arial" w:cs="Arial"/>
          <w:sz w:val="32"/>
          <w:szCs w:val="32"/>
        </w:rPr>
        <w:t>objectives</w:t>
      </w:r>
      <w:r w:rsidRPr="003B2EED">
        <w:rPr>
          <w:rFonts w:ascii="Arial" w:hAnsi="Arial" w:cs="Arial"/>
          <w:sz w:val="32"/>
          <w:szCs w:val="32"/>
        </w:rPr>
        <w:t xml:space="preserve"> of both parties</w:t>
      </w:r>
      <w:r w:rsidR="00166E17" w:rsidRPr="003B2EED">
        <w:rPr>
          <w:rFonts w:ascii="Arial" w:hAnsi="Arial" w:cs="Arial"/>
          <w:sz w:val="32"/>
          <w:szCs w:val="32"/>
        </w:rPr>
        <w:t>, with EOG’s intent being to expand its operations in Trinidad and Tobago, and Heritage</w:t>
      </w:r>
      <w:r w:rsidR="00B951B6" w:rsidRPr="003B2EED">
        <w:rPr>
          <w:rFonts w:ascii="Arial" w:hAnsi="Arial" w:cs="Arial"/>
          <w:sz w:val="32"/>
          <w:szCs w:val="32"/>
        </w:rPr>
        <w:t>’s intent</w:t>
      </w:r>
      <w:r w:rsidR="00BD4EB0" w:rsidRPr="003B2EED">
        <w:rPr>
          <w:rFonts w:ascii="Arial" w:hAnsi="Arial" w:cs="Arial"/>
          <w:sz w:val="32"/>
          <w:szCs w:val="32"/>
        </w:rPr>
        <w:t xml:space="preserve"> being</w:t>
      </w:r>
      <w:r w:rsidR="00166E17" w:rsidRPr="003B2EED">
        <w:rPr>
          <w:rFonts w:ascii="Arial" w:hAnsi="Arial" w:cs="Arial"/>
          <w:sz w:val="32"/>
          <w:szCs w:val="32"/>
        </w:rPr>
        <w:t xml:space="preserve"> to </w:t>
      </w:r>
      <w:r w:rsidR="00D5205F" w:rsidRPr="003B2EED">
        <w:rPr>
          <w:rFonts w:ascii="Arial" w:hAnsi="Arial" w:cs="Arial"/>
          <w:sz w:val="32"/>
          <w:szCs w:val="32"/>
        </w:rPr>
        <w:t xml:space="preserve">increase its production and </w:t>
      </w:r>
      <w:r w:rsidR="00166E17" w:rsidRPr="003B2EED">
        <w:rPr>
          <w:rFonts w:ascii="Arial" w:hAnsi="Arial" w:cs="Arial"/>
          <w:sz w:val="32"/>
          <w:szCs w:val="32"/>
        </w:rPr>
        <w:t>develop its reserves in a timely manner.</w:t>
      </w:r>
      <w:r w:rsidR="00525CE4" w:rsidRPr="003B2EED">
        <w:rPr>
          <w:rFonts w:ascii="Arial" w:hAnsi="Arial" w:cs="Arial"/>
          <w:sz w:val="32"/>
          <w:szCs w:val="32"/>
        </w:rPr>
        <w:t xml:space="preserve"> </w:t>
      </w:r>
    </w:p>
    <w:p w:rsidR="00111867" w:rsidRPr="003B2EED" w:rsidRDefault="00980DCE" w:rsidP="003B2EED">
      <w:pPr>
        <w:spacing w:line="480" w:lineRule="auto"/>
        <w:jc w:val="both"/>
        <w:rPr>
          <w:rFonts w:ascii="Arial" w:hAnsi="Arial" w:cs="Arial"/>
          <w:sz w:val="32"/>
          <w:szCs w:val="32"/>
        </w:rPr>
      </w:pPr>
      <w:r w:rsidRPr="003B2EED">
        <w:rPr>
          <w:rFonts w:ascii="Arial" w:hAnsi="Arial" w:cs="Arial"/>
          <w:sz w:val="32"/>
          <w:szCs w:val="32"/>
        </w:rPr>
        <w:lastRenderedPageBreak/>
        <w:t>In March 2019, I met with a high-level delegation from EOG Resources at the Diplomatic Centre, St. Ann’s, which was led by William Thomas, Chairman and Chief Executive Officer of EOG.</w:t>
      </w:r>
      <w:r w:rsidR="00994C1A" w:rsidRPr="003B2EED">
        <w:rPr>
          <w:rFonts w:ascii="Arial" w:hAnsi="Arial" w:cs="Arial"/>
          <w:sz w:val="32"/>
          <w:szCs w:val="32"/>
        </w:rPr>
        <w:t xml:space="preserve"> We discussed several </w:t>
      </w:r>
      <w:r w:rsidR="00915FC3" w:rsidRPr="003B2EED">
        <w:rPr>
          <w:rFonts w:ascii="Arial" w:hAnsi="Arial" w:cs="Arial"/>
          <w:sz w:val="32"/>
          <w:szCs w:val="32"/>
        </w:rPr>
        <w:t>items</w:t>
      </w:r>
      <w:r w:rsidR="00994C1A" w:rsidRPr="003B2EED">
        <w:rPr>
          <w:rFonts w:ascii="Arial" w:hAnsi="Arial" w:cs="Arial"/>
          <w:sz w:val="32"/>
          <w:szCs w:val="32"/>
        </w:rPr>
        <w:t xml:space="preserve">, including EOG’s prospective exploration and production schedule for Trinidad and Tobago for the next five years. </w:t>
      </w:r>
      <w:r w:rsidR="00650C0A" w:rsidRPr="003B2EED">
        <w:rPr>
          <w:rFonts w:ascii="Arial" w:hAnsi="Arial" w:cs="Arial"/>
          <w:sz w:val="32"/>
          <w:szCs w:val="32"/>
        </w:rPr>
        <w:t>EOG also reaffirmed its commitment to Trinidad and Tobago</w:t>
      </w:r>
      <w:r w:rsidR="00F10227" w:rsidRPr="003B2EED">
        <w:rPr>
          <w:rFonts w:ascii="Arial" w:hAnsi="Arial" w:cs="Arial"/>
          <w:sz w:val="32"/>
          <w:szCs w:val="32"/>
        </w:rPr>
        <w:t>,</w:t>
      </w:r>
      <w:r w:rsidR="00650C0A" w:rsidRPr="003B2EED">
        <w:rPr>
          <w:rFonts w:ascii="Arial" w:hAnsi="Arial" w:cs="Arial"/>
          <w:sz w:val="32"/>
          <w:szCs w:val="32"/>
        </w:rPr>
        <w:t xml:space="preserve"> notwithstanding the competitive global environment</w:t>
      </w:r>
      <w:r w:rsidR="00F10227" w:rsidRPr="003B2EED">
        <w:rPr>
          <w:rFonts w:ascii="Arial" w:hAnsi="Arial" w:cs="Arial"/>
          <w:sz w:val="32"/>
          <w:szCs w:val="32"/>
        </w:rPr>
        <w:t>, and expressed the company’s intention to</w:t>
      </w:r>
      <w:r w:rsidR="00650C0A" w:rsidRPr="003B2EED">
        <w:rPr>
          <w:rFonts w:ascii="Arial" w:hAnsi="Arial" w:cs="Arial"/>
          <w:sz w:val="32"/>
          <w:szCs w:val="32"/>
        </w:rPr>
        <w:t xml:space="preserve"> continue investing </w:t>
      </w:r>
      <w:r w:rsidR="00F10227" w:rsidRPr="003B2EED">
        <w:rPr>
          <w:rFonts w:ascii="Arial" w:hAnsi="Arial" w:cs="Arial"/>
          <w:sz w:val="32"/>
          <w:szCs w:val="32"/>
        </w:rPr>
        <w:t>in the country.</w:t>
      </w:r>
    </w:p>
    <w:p w:rsidR="00111867" w:rsidRPr="003B2EED" w:rsidRDefault="00111867" w:rsidP="003B2EED">
      <w:pPr>
        <w:spacing w:line="480" w:lineRule="auto"/>
        <w:jc w:val="both"/>
        <w:rPr>
          <w:rFonts w:ascii="Arial" w:hAnsi="Arial" w:cs="Arial"/>
          <w:sz w:val="32"/>
          <w:szCs w:val="32"/>
        </w:rPr>
      </w:pPr>
      <w:r w:rsidRPr="003B2EED">
        <w:rPr>
          <w:rFonts w:ascii="Arial" w:hAnsi="Arial" w:cs="Arial"/>
          <w:sz w:val="32"/>
          <w:szCs w:val="32"/>
        </w:rPr>
        <w:t xml:space="preserve">As a Government, we </w:t>
      </w:r>
      <w:r w:rsidR="00AD302D" w:rsidRPr="003B2EED">
        <w:rPr>
          <w:rFonts w:ascii="Arial" w:hAnsi="Arial" w:cs="Arial"/>
          <w:sz w:val="32"/>
          <w:szCs w:val="32"/>
        </w:rPr>
        <w:t xml:space="preserve">endeavour </w:t>
      </w:r>
      <w:r w:rsidRPr="003B2EED">
        <w:rPr>
          <w:rFonts w:ascii="Arial" w:hAnsi="Arial" w:cs="Arial"/>
          <w:sz w:val="32"/>
          <w:szCs w:val="32"/>
        </w:rPr>
        <w:t>to encourage and support continued investment in our energy sector, and all</w:t>
      </w:r>
      <w:r w:rsidR="00F50CB4" w:rsidRPr="003B2EED">
        <w:rPr>
          <w:rFonts w:ascii="Arial" w:hAnsi="Arial" w:cs="Arial"/>
          <w:sz w:val="32"/>
          <w:szCs w:val="32"/>
        </w:rPr>
        <w:t xml:space="preserve"> other sectors of our economy. </w:t>
      </w:r>
      <w:r w:rsidR="000C7FC5" w:rsidRPr="003B2EED">
        <w:rPr>
          <w:rFonts w:ascii="Arial" w:hAnsi="Arial" w:cs="Arial"/>
          <w:sz w:val="32"/>
          <w:szCs w:val="32"/>
        </w:rPr>
        <w:t>Last year, EOG spent just over US$100 million in capital expenditure in Trinidad and Tobago, and the impact of such expenditure is not lost on us</w:t>
      </w:r>
      <w:r w:rsidR="007329B6" w:rsidRPr="003B2EED">
        <w:rPr>
          <w:rFonts w:ascii="Arial" w:hAnsi="Arial" w:cs="Arial"/>
          <w:sz w:val="32"/>
          <w:szCs w:val="32"/>
        </w:rPr>
        <w:t xml:space="preserve">, especially as we witness the changing tides in the energy industry, and the shifting priorities of major international energy companies. </w:t>
      </w:r>
    </w:p>
    <w:p w:rsidR="0003316D" w:rsidRPr="003B2EED" w:rsidRDefault="00C720BB" w:rsidP="003B2EED">
      <w:pPr>
        <w:spacing w:line="480" w:lineRule="auto"/>
        <w:jc w:val="both"/>
        <w:rPr>
          <w:rFonts w:ascii="Arial" w:hAnsi="Arial" w:cs="Arial"/>
          <w:sz w:val="32"/>
          <w:szCs w:val="32"/>
        </w:rPr>
      </w:pPr>
      <w:r w:rsidRPr="003B2EED">
        <w:rPr>
          <w:rFonts w:ascii="Arial" w:hAnsi="Arial" w:cs="Arial"/>
          <w:sz w:val="32"/>
          <w:szCs w:val="32"/>
        </w:rPr>
        <w:lastRenderedPageBreak/>
        <w:t xml:space="preserve">We recognize the importance of companies such as EOG in </w:t>
      </w:r>
      <w:r w:rsidR="009D46F0" w:rsidRPr="003B2EED">
        <w:rPr>
          <w:rFonts w:ascii="Arial" w:hAnsi="Arial" w:cs="Arial"/>
          <w:sz w:val="32"/>
          <w:szCs w:val="32"/>
        </w:rPr>
        <w:t>the maximization</w:t>
      </w:r>
      <w:r w:rsidR="00C616D4" w:rsidRPr="003B2EED">
        <w:rPr>
          <w:rFonts w:ascii="Arial" w:hAnsi="Arial" w:cs="Arial"/>
          <w:sz w:val="32"/>
          <w:szCs w:val="32"/>
        </w:rPr>
        <w:t xml:space="preserve"> of</w:t>
      </w:r>
      <w:r w:rsidRPr="003B2EED">
        <w:rPr>
          <w:rFonts w:ascii="Arial" w:hAnsi="Arial" w:cs="Arial"/>
          <w:sz w:val="32"/>
          <w:szCs w:val="32"/>
        </w:rPr>
        <w:t xml:space="preserve"> value </w:t>
      </w:r>
      <w:r w:rsidR="00C616D4" w:rsidRPr="003B2EED">
        <w:rPr>
          <w:rFonts w:ascii="Arial" w:hAnsi="Arial" w:cs="Arial"/>
          <w:sz w:val="32"/>
          <w:szCs w:val="32"/>
        </w:rPr>
        <w:t>of</w:t>
      </w:r>
      <w:r w:rsidRPr="003B2EED">
        <w:rPr>
          <w:rFonts w:ascii="Arial" w:hAnsi="Arial" w:cs="Arial"/>
          <w:sz w:val="32"/>
          <w:szCs w:val="32"/>
        </w:rPr>
        <w:t xml:space="preserve"> our natural resources</w:t>
      </w:r>
      <w:r w:rsidR="00C616D4" w:rsidRPr="003B2EED">
        <w:rPr>
          <w:rFonts w:ascii="Arial" w:hAnsi="Arial" w:cs="Arial"/>
          <w:sz w:val="32"/>
          <w:szCs w:val="32"/>
        </w:rPr>
        <w:t xml:space="preserve"> for the benefit of our citizens</w:t>
      </w:r>
      <w:r w:rsidRPr="003B2EED">
        <w:rPr>
          <w:rFonts w:ascii="Arial" w:hAnsi="Arial" w:cs="Arial"/>
          <w:sz w:val="32"/>
          <w:szCs w:val="32"/>
        </w:rPr>
        <w:t xml:space="preserve">. </w:t>
      </w:r>
      <w:r w:rsidR="009D46F0" w:rsidRPr="003B2EED">
        <w:rPr>
          <w:rFonts w:ascii="Arial" w:hAnsi="Arial" w:cs="Arial"/>
          <w:sz w:val="32"/>
          <w:szCs w:val="32"/>
        </w:rPr>
        <w:t>We</w:t>
      </w:r>
      <w:r w:rsidRPr="003B2EED">
        <w:rPr>
          <w:rFonts w:ascii="Arial" w:hAnsi="Arial" w:cs="Arial"/>
          <w:sz w:val="32"/>
          <w:szCs w:val="32"/>
        </w:rPr>
        <w:t xml:space="preserve"> </w:t>
      </w:r>
      <w:r w:rsidR="009D46F0" w:rsidRPr="003B2EED">
        <w:rPr>
          <w:rFonts w:ascii="Arial" w:hAnsi="Arial" w:cs="Arial"/>
          <w:sz w:val="32"/>
          <w:szCs w:val="32"/>
        </w:rPr>
        <w:t xml:space="preserve">welcome </w:t>
      </w:r>
      <w:r w:rsidRPr="003B2EED">
        <w:rPr>
          <w:rFonts w:ascii="Arial" w:hAnsi="Arial" w:cs="Arial"/>
          <w:sz w:val="32"/>
          <w:szCs w:val="32"/>
        </w:rPr>
        <w:t>the continued participation of private capital in our local economy,</w:t>
      </w:r>
      <w:r w:rsidR="009D46F0" w:rsidRPr="003B2EED">
        <w:rPr>
          <w:rFonts w:ascii="Arial" w:hAnsi="Arial" w:cs="Arial"/>
          <w:sz w:val="32"/>
          <w:szCs w:val="32"/>
        </w:rPr>
        <w:t xml:space="preserve"> in partnership with our State </w:t>
      </w:r>
      <w:r w:rsidR="00C616D4" w:rsidRPr="003B2EED">
        <w:rPr>
          <w:rFonts w:ascii="Arial" w:hAnsi="Arial" w:cs="Arial"/>
          <w:sz w:val="32"/>
          <w:szCs w:val="32"/>
        </w:rPr>
        <w:t>Enterprises</w:t>
      </w:r>
      <w:r w:rsidR="009D46F0" w:rsidRPr="003B2EED">
        <w:rPr>
          <w:rFonts w:ascii="Arial" w:hAnsi="Arial" w:cs="Arial"/>
          <w:sz w:val="32"/>
          <w:szCs w:val="32"/>
        </w:rPr>
        <w:t>,</w:t>
      </w:r>
      <w:r w:rsidRPr="003B2EED">
        <w:rPr>
          <w:rFonts w:ascii="Arial" w:hAnsi="Arial" w:cs="Arial"/>
          <w:sz w:val="32"/>
          <w:szCs w:val="32"/>
        </w:rPr>
        <w:t xml:space="preserve"> to stimulate the economy along the supply chain, and, more importantly, through the generation of foreign exchange</w:t>
      </w:r>
      <w:r w:rsidR="00C616D4" w:rsidRPr="003B2EED">
        <w:rPr>
          <w:rFonts w:ascii="Arial" w:hAnsi="Arial" w:cs="Arial"/>
          <w:sz w:val="32"/>
          <w:szCs w:val="32"/>
        </w:rPr>
        <w:t>,</w:t>
      </w:r>
      <w:r w:rsidRPr="003B2EED">
        <w:rPr>
          <w:rFonts w:ascii="Arial" w:hAnsi="Arial" w:cs="Arial"/>
          <w:sz w:val="32"/>
          <w:szCs w:val="32"/>
        </w:rPr>
        <w:t xml:space="preserve"> to maintain the standard of living to which our citizens have grown accustomed. </w:t>
      </w:r>
    </w:p>
    <w:p w:rsidR="00061D51" w:rsidRPr="003B2EED" w:rsidRDefault="00111867" w:rsidP="003B2EED">
      <w:pPr>
        <w:spacing w:line="480" w:lineRule="auto"/>
        <w:jc w:val="both"/>
        <w:rPr>
          <w:rFonts w:ascii="Arial" w:hAnsi="Arial" w:cs="Arial"/>
          <w:sz w:val="32"/>
          <w:szCs w:val="32"/>
        </w:rPr>
      </w:pPr>
      <w:r w:rsidRPr="003B2EED">
        <w:rPr>
          <w:rFonts w:ascii="Arial" w:hAnsi="Arial" w:cs="Arial"/>
          <w:sz w:val="32"/>
          <w:szCs w:val="32"/>
        </w:rPr>
        <w:t>A</w:t>
      </w:r>
      <w:r w:rsidR="00061D51" w:rsidRPr="003B2EED">
        <w:rPr>
          <w:rFonts w:ascii="Arial" w:hAnsi="Arial" w:cs="Arial"/>
          <w:sz w:val="32"/>
          <w:szCs w:val="32"/>
        </w:rPr>
        <w:t>s I conclude, I wish both parties the greatest success in your joint venture, and given the track records of both Heritage and EOG, I expect no less.</w:t>
      </w:r>
      <w:r w:rsidR="00EB1E6E" w:rsidRPr="003B2EED">
        <w:rPr>
          <w:rFonts w:ascii="Arial" w:hAnsi="Arial" w:cs="Arial"/>
          <w:sz w:val="32"/>
          <w:szCs w:val="32"/>
        </w:rPr>
        <w:t xml:space="preserve"> I hope to see announcements of discoveries in the near future</w:t>
      </w:r>
      <w:r w:rsidR="00D164C5" w:rsidRPr="003B2EED">
        <w:rPr>
          <w:rFonts w:ascii="Arial" w:hAnsi="Arial" w:cs="Arial"/>
          <w:sz w:val="32"/>
          <w:szCs w:val="32"/>
        </w:rPr>
        <w:t xml:space="preserve">. </w:t>
      </w:r>
    </w:p>
    <w:p w:rsidR="00061D51" w:rsidRPr="003B2EED" w:rsidRDefault="00061D51" w:rsidP="003B2EED">
      <w:pPr>
        <w:spacing w:line="480" w:lineRule="auto"/>
        <w:jc w:val="both"/>
        <w:rPr>
          <w:rFonts w:ascii="Arial" w:hAnsi="Arial" w:cs="Arial"/>
          <w:sz w:val="32"/>
          <w:szCs w:val="32"/>
        </w:rPr>
      </w:pPr>
      <w:r w:rsidRPr="003B2EED">
        <w:rPr>
          <w:rFonts w:ascii="Arial" w:hAnsi="Arial" w:cs="Arial"/>
          <w:sz w:val="32"/>
          <w:szCs w:val="32"/>
        </w:rPr>
        <w:t xml:space="preserve">Thank you very much. </w:t>
      </w:r>
    </w:p>
    <w:p w:rsidR="00EB1E6E" w:rsidRPr="003B2EED" w:rsidRDefault="00EB1E6E" w:rsidP="003B2EED">
      <w:pPr>
        <w:spacing w:line="480" w:lineRule="auto"/>
        <w:jc w:val="both"/>
        <w:rPr>
          <w:rFonts w:ascii="Arial" w:hAnsi="Arial" w:cs="Arial"/>
          <w:sz w:val="32"/>
          <w:szCs w:val="32"/>
        </w:rPr>
      </w:pPr>
    </w:p>
    <w:p w:rsidR="00EB043B" w:rsidRPr="003B2EED" w:rsidRDefault="00EB043B" w:rsidP="003B2EED">
      <w:pPr>
        <w:spacing w:line="480" w:lineRule="auto"/>
        <w:rPr>
          <w:rFonts w:ascii="Arial" w:hAnsi="Arial" w:cs="Arial"/>
          <w:sz w:val="32"/>
          <w:szCs w:val="32"/>
        </w:rPr>
      </w:pPr>
    </w:p>
    <w:sectPr w:rsidR="00EB043B" w:rsidRPr="003B2EED" w:rsidSect="0020248B">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F3" w:rsidRDefault="00CF27F3" w:rsidP="003A642B">
      <w:pPr>
        <w:spacing w:after="0" w:line="240" w:lineRule="auto"/>
      </w:pPr>
      <w:r>
        <w:separator/>
      </w:r>
    </w:p>
  </w:endnote>
  <w:endnote w:type="continuationSeparator" w:id="0">
    <w:p w:rsidR="00CF27F3" w:rsidRDefault="00CF27F3" w:rsidP="003A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690665"/>
      <w:docPartObj>
        <w:docPartGallery w:val="Page Numbers (Bottom of Page)"/>
        <w:docPartUnique/>
      </w:docPartObj>
    </w:sdtPr>
    <w:sdtEndPr>
      <w:rPr>
        <w:noProof/>
      </w:rPr>
    </w:sdtEndPr>
    <w:sdtContent>
      <w:p w:rsidR="003A642B" w:rsidRDefault="003A642B">
        <w:pPr>
          <w:pStyle w:val="Footer"/>
          <w:jc w:val="right"/>
        </w:pPr>
        <w:r>
          <w:fldChar w:fldCharType="begin"/>
        </w:r>
        <w:r>
          <w:instrText xml:space="preserve"> PAGE   \* MERGEFORMAT </w:instrText>
        </w:r>
        <w:r>
          <w:fldChar w:fldCharType="separate"/>
        </w:r>
        <w:r w:rsidR="003B2EED">
          <w:rPr>
            <w:noProof/>
          </w:rPr>
          <w:t>1</w:t>
        </w:r>
        <w:r>
          <w:rPr>
            <w:noProof/>
          </w:rPr>
          <w:fldChar w:fldCharType="end"/>
        </w:r>
      </w:p>
    </w:sdtContent>
  </w:sdt>
  <w:p w:rsidR="003A642B" w:rsidRDefault="003A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F3" w:rsidRDefault="00CF27F3" w:rsidP="003A642B">
      <w:pPr>
        <w:spacing w:after="0" w:line="240" w:lineRule="auto"/>
      </w:pPr>
      <w:r>
        <w:separator/>
      </w:r>
    </w:p>
  </w:footnote>
  <w:footnote w:type="continuationSeparator" w:id="0">
    <w:p w:rsidR="00CF27F3" w:rsidRDefault="00CF27F3" w:rsidP="003A6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F94"/>
    <w:multiLevelType w:val="hybridMultilevel"/>
    <w:tmpl w:val="7240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9C78E5"/>
    <w:multiLevelType w:val="hybridMultilevel"/>
    <w:tmpl w:val="BD6ED34A"/>
    <w:lvl w:ilvl="0" w:tplc="BA189E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6F"/>
    <w:rsid w:val="0000331D"/>
    <w:rsid w:val="00010E66"/>
    <w:rsid w:val="00011BD8"/>
    <w:rsid w:val="000325FF"/>
    <w:rsid w:val="0003316D"/>
    <w:rsid w:val="00043182"/>
    <w:rsid w:val="00047A0F"/>
    <w:rsid w:val="0005254F"/>
    <w:rsid w:val="00061D51"/>
    <w:rsid w:val="00061ED5"/>
    <w:rsid w:val="00084B6E"/>
    <w:rsid w:val="000932C3"/>
    <w:rsid w:val="000A0476"/>
    <w:rsid w:val="000A3BF1"/>
    <w:rsid w:val="000C3756"/>
    <w:rsid w:val="000C7FC5"/>
    <w:rsid w:val="000D1AE8"/>
    <w:rsid w:val="000E1B37"/>
    <w:rsid w:val="000E24D6"/>
    <w:rsid w:val="000F207A"/>
    <w:rsid w:val="00102A0C"/>
    <w:rsid w:val="00111867"/>
    <w:rsid w:val="00152F09"/>
    <w:rsid w:val="00153034"/>
    <w:rsid w:val="00166E17"/>
    <w:rsid w:val="0016763E"/>
    <w:rsid w:val="00167B1A"/>
    <w:rsid w:val="00171184"/>
    <w:rsid w:val="00172F33"/>
    <w:rsid w:val="0017342A"/>
    <w:rsid w:val="00176128"/>
    <w:rsid w:val="0018685D"/>
    <w:rsid w:val="00191047"/>
    <w:rsid w:val="0019214D"/>
    <w:rsid w:val="001A56D7"/>
    <w:rsid w:val="001A7221"/>
    <w:rsid w:val="001B191E"/>
    <w:rsid w:val="001B61C9"/>
    <w:rsid w:val="001B794E"/>
    <w:rsid w:val="001C1D05"/>
    <w:rsid w:val="001D2B62"/>
    <w:rsid w:val="001E7907"/>
    <w:rsid w:val="001F4768"/>
    <w:rsid w:val="0020248B"/>
    <w:rsid w:val="002029C2"/>
    <w:rsid w:val="00220068"/>
    <w:rsid w:val="00230A72"/>
    <w:rsid w:val="00263CFD"/>
    <w:rsid w:val="00271A22"/>
    <w:rsid w:val="00275F4F"/>
    <w:rsid w:val="00285D9C"/>
    <w:rsid w:val="002934EE"/>
    <w:rsid w:val="002A77BB"/>
    <w:rsid w:val="002B4D88"/>
    <w:rsid w:val="002C1B99"/>
    <w:rsid w:val="002C3144"/>
    <w:rsid w:val="002D1B98"/>
    <w:rsid w:val="002D1E40"/>
    <w:rsid w:val="002E362D"/>
    <w:rsid w:val="002E3DF0"/>
    <w:rsid w:val="002E5BED"/>
    <w:rsid w:val="002F4611"/>
    <w:rsid w:val="00313049"/>
    <w:rsid w:val="00336C6D"/>
    <w:rsid w:val="0034621E"/>
    <w:rsid w:val="00347DBC"/>
    <w:rsid w:val="003619C7"/>
    <w:rsid w:val="00362C5F"/>
    <w:rsid w:val="003924BC"/>
    <w:rsid w:val="003955E3"/>
    <w:rsid w:val="00397E44"/>
    <w:rsid w:val="003A342F"/>
    <w:rsid w:val="003A642B"/>
    <w:rsid w:val="003A6E19"/>
    <w:rsid w:val="003B2EED"/>
    <w:rsid w:val="003D259F"/>
    <w:rsid w:val="003D5C55"/>
    <w:rsid w:val="003D6F99"/>
    <w:rsid w:val="003F00BC"/>
    <w:rsid w:val="003F2191"/>
    <w:rsid w:val="003F3FB0"/>
    <w:rsid w:val="003F78FA"/>
    <w:rsid w:val="004022C6"/>
    <w:rsid w:val="004037B8"/>
    <w:rsid w:val="004049B6"/>
    <w:rsid w:val="004116A9"/>
    <w:rsid w:val="0041432B"/>
    <w:rsid w:val="00430449"/>
    <w:rsid w:val="00435BC9"/>
    <w:rsid w:val="00464BA4"/>
    <w:rsid w:val="0047435F"/>
    <w:rsid w:val="00492053"/>
    <w:rsid w:val="004A0111"/>
    <w:rsid w:val="004A0E9E"/>
    <w:rsid w:val="004A791A"/>
    <w:rsid w:val="004A7D81"/>
    <w:rsid w:val="004B29C2"/>
    <w:rsid w:val="004D0AB6"/>
    <w:rsid w:val="004D298E"/>
    <w:rsid w:val="004E3BC8"/>
    <w:rsid w:val="004E5B15"/>
    <w:rsid w:val="004F7209"/>
    <w:rsid w:val="005000B8"/>
    <w:rsid w:val="00507B6C"/>
    <w:rsid w:val="0051796A"/>
    <w:rsid w:val="00525CE4"/>
    <w:rsid w:val="00532B26"/>
    <w:rsid w:val="005503B6"/>
    <w:rsid w:val="005673C9"/>
    <w:rsid w:val="0057177E"/>
    <w:rsid w:val="00575025"/>
    <w:rsid w:val="00576406"/>
    <w:rsid w:val="00580676"/>
    <w:rsid w:val="00585C10"/>
    <w:rsid w:val="00594345"/>
    <w:rsid w:val="0059459B"/>
    <w:rsid w:val="005A1F09"/>
    <w:rsid w:val="005A36FF"/>
    <w:rsid w:val="005B350C"/>
    <w:rsid w:val="005B51B4"/>
    <w:rsid w:val="005B7827"/>
    <w:rsid w:val="005D4F74"/>
    <w:rsid w:val="005E5C7C"/>
    <w:rsid w:val="005E6BC4"/>
    <w:rsid w:val="005F3BB7"/>
    <w:rsid w:val="005F3D60"/>
    <w:rsid w:val="00606D58"/>
    <w:rsid w:val="00613DEA"/>
    <w:rsid w:val="006144AD"/>
    <w:rsid w:val="006171E8"/>
    <w:rsid w:val="00624561"/>
    <w:rsid w:val="00630A84"/>
    <w:rsid w:val="00637269"/>
    <w:rsid w:val="00640813"/>
    <w:rsid w:val="006416BA"/>
    <w:rsid w:val="006429B1"/>
    <w:rsid w:val="0064657F"/>
    <w:rsid w:val="00650C0A"/>
    <w:rsid w:val="00653AB2"/>
    <w:rsid w:val="00661F73"/>
    <w:rsid w:val="0066719B"/>
    <w:rsid w:val="00692020"/>
    <w:rsid w:val="0069337A"/>
    <w:rsid w:val="00693DA9"/>
    <w:rsid w:val="00696654"/>
    <w:rsid w:val="006B429D"/>
    <w:rsid w:val="006B4369"/>
    <w:rsid w:val="006C02E1"/>
    <w:rsid w:val="006E0831"/>
    <w:rsid w:val="006E4BFE"/>
    <w:rsid w:val="006F174B"/>
    <w:rsid w:val="00701CED"/>
    <w:rsid w:val="00702E83"/>
    <w:rsid w:val="00706A79"/>
    <w:rsid w:val="00722C2B"/>
    <w:rsid w:val="007329B6"/>
    <w:rsid w:val="00740ABA"/>
    <w:rsid w:val="0074140F"/>
    <w:rsid w:val="007452B7"/>
    <w:rsid w:val="00745F1E"/>
    <w:rsid w:val="00754F8E"/>
    <w:rsid w:val="00757C87"/>
    <w:rsid w:val="00767618"/>
    <w:rsid w:val="007723EE"/>
    <w:rsid w:val="00775834"/>
    <w:rsid w:val="00794B40"/>
    <w:rsid w:val="0079772B"/>
    <w:rsid w:val="007A0CE6"/>
    <w:rsid w:val="007B1910"/>
    <w:rsid w:val="007D08AE"/>
    <w:rsid w:val="007D62C2"/>
    <w:rsid w:val="007E2A8F"/>
    <w:rsid w:val="007E2D9C"/>
    <w:rsid w:val="007E3B9B"/>
    <w:rsid w:val="007E5181"/>
    <w:rsid w:val="007E5913"/>
    <w:rsid w:val="008016BD"/>
    <w:rsid w:val="00806BDB"/>
    <w:rsid w:val="0081411C"/>
    <w:rsid w:val="00815367"/>
    <w:rsid w:val="00831F3B"/>
    <w:rsid w:val="00835C70"/>
    <w:rsid w:val="0084344C"/>
    <w:rsid w:val="008465A3"/>
    <w:rsid w:val="00852C80"/>
    <w:rsid w:val="008535C1"/>
    <w:rsid w:val="00853FDB"/>
    <w:rsid w:val="00857969"/>
    <w:rsid w:val="00862B1F"/>
    <w:rsid w:val="008679F7"/>
    <w:rsid w:val="00872058"/>
    <w:rsid w:val="00873A3E"/>
    <w:rsid w:val="00875112"/>
    <w:rsid w:val="00893085"/>
    <w:rsid w:val="008B6C4A"/>
    <w:rsid w:val="008B76A4"/>
    <w:rsid w:val="008B7947"/>
    <w:rsid w:val="008C2355"/>
    <w:rsid w:val="008C7E6E"/>
    <w:rsid w:val="008D0791"/>
    <w:rsid w:val="00905E35"/>
    <w:rsid w:val="00906CBD"/>
    <w:rsid w:val="00912925"/>
    <w:rsid w:val="00913639"/>
    <w:rsid w:val="00915FC3"/>
    <w:rsid w:val="00923015"/>
    <w:rsid w:val="00934F5D"/>
    <w:rsid w:val="00935961"/>
    <w:rsid w:val="00940413"/>
    <w:rsid w:val="00944333"/>
    <w:rsid w:val="00951349"/>
    <w:rsid w:val="00951909"/>
    <w:rsid w:val="00955ABA"/>
    <w:rsid w:val="00956CB8"/>
    <w:rsid w:val="0096162C"/>
    <w:rsid w:val="00965CF5"/>
    <w:rsid w:val="0096748E"/>
    <w:rsid w:val="00976C4C"/>
    <w:rsid w:val="00980DCE"/>
    <w:rsid w:val="00992E6B"/>
    <w:rsid w:val="00994C1A"/>
    <w:rsid w:val="00995CA9"/>
    <w:rsid w:val="009B5894"/>
    <w:rsid w:val="009D46F0"/>
    <w:rsid w:val="009E2322"/>
    <w:rsid w:val="00A01691"/>
    <w:rsid w:val="00A01CA9"/>
    <w:rsid w:val="00A07321"/>
    <w:rsid w:val="00A227DD"/>
    <w:rsid w:val="00A25DFD"/>
    <w:rsid w:val="00A32382"/>
    <w:rsid w:val="00A34618"/>
    <w:rsid w:val="00A5103A"/>
    <w:rsid w:val="00A5631A"/>
    <w:rsid w:val="00A81C3D"/>
    <w:rsid w:val="00A90158"/>
    <w:rsid w:val="00A93971"/>
    <w:rsid w:val="00A93DB7"/>
    <w:rsid w:val="00A9456E"/>
    <w:rsid w:val="00AA081C"/>
    <w:rsid w:val="00AB4BE4"/>
    <w:rsid w:val="00AC4E44"/>
    <w:rsid w:val="00AC7993"/>
    <w:rsid w:val="00AD302D"/>
    <w:rsid w:val="00AD41A4"/>
    <w:rsid w:val="00AD63B9"/>
    <w:rsid w:val="00AE29E4"/>
    <w:rsid w:val="00AE611C"/>
    <w:rsid w:val="00AE632B"/>
    <w:rsid w:val="00AF1679"/>
    <w:rsid w:val="00AF2A1D"/>
    <w:rsid w:val="00AF2BD3"/>
    <w:rsid w:val="00AF72E8"/>
    <w:rsid w:val="00B06CFA"/>
    <w:rsid w:val="00B3085C"/>
    <w:rsid w:val="00B311E1"/>
    <w:rsid w:val="00B46721"/>
    <w:rsid w:val="00B5074D"/>
    <w:rsid w:val="00B52E68"/>
    <w:rsid w:val="00B56B3B"/>
    <w:rsid w:val="00B62EF8"/>
    <w:rsid w:val="00B80BF0"/>
    <w:rsid w:val="00B951B6"/>
    <w:rsid w:val="00BA5090"/>
    <w:rsid w:val="00BB7B40"/>
    <w:rsid w:val="00BC2D7C"/>
    <w:rsid w:val="00BD2688"/>
    <w:rsid w:val="00BD4EB0"/>
    <w:rsid w:val="00BE5DA7"/>
    <w:rsid w:val="00C12B25"/>
    <w:rsid w:val="00C1327F"/>
    <w:rsid w:val="00C1546F"/>
    <w:rsid w:val="00C31DE1"/>
    <w:rsid w:val="00C61646"/>
    <w:rsid w:val="00C616D4"/>
    <w:rsid w:val="00C61CA4"/>
    <w:rsid w:val="00C70B1A"/>
    <w:rsid w:val="00C720BB"/>
    <w:rsid w:val="00C7493B"/>
    <w:rsid w:val="00C81A16"/>
    <w:rsid w:val="00C83C5A"/>
    <w:rsid w:val="00C91AFC"/>
    <w:rsid w:val="00CA0F2B"/>
    <w:rsid w:val="00CB1603"/>
    <w:rsid w:val="00CB66B4"/>
    <w:rsid w:val="00CD080D"/>
    <w:rsid w:val="00CD0F8D"/>
    <w:rsid w:val="00CE476F"/>
    <w:rsid w:val="00CF27F3"/>
    <w:rsid w:val="00CF430E"/>
    <w:rsid w:val="00D0142E"/>
    <w:rsid w:val="00D0277B"/>
    <w:rsid w:val="00D04350"/>
    <w:rsid w:val="00D164C5"/>
    <w:rsid w:val="00D17322"/>
    <w:rsid w:val="00D310CE"/>
    <w:rsid w:val="00D334EC"/>
    <w:rsid w:val="00D51434"/>
    <w:rsid w:val="00D5205F"/>
    <w:rsid w:val="00D56A8A"/>
    <w:rsid w:val="00D6099A"/>
    <w:rsid w:val="00D60C13"/>
    <w:rsid w:val="00D60ED4"/>
    <w:rsid w:val="00D60EE3"/>
    <w:rsid w:val="00D634F8"/>
    <w:rsid w:val="00D7558F"/>
    <w:rsid w:val="00D755C5"/>
    <w:rsid w:val="00D8095F"/>
    <w:rsid w:val="00D94EB9"/>
    <w:rsid w:val="00D97CE6"/>
    <w:rsid w:val="00DA38C8"/>
    <w:rsid w:val="00DB1BC5"/>
    <w:rsid w:val="00DB3F1E"/>
    <w:rsid w:val="00DC27F8"/>
    <w:rsid w:val="00DC34C3"/>
    <w:rsid w:val="00DE41E8"/>
    <w:rsid w:val="00E00D64"/>
    <w:rsid w:val="00E02594"/>
    <w:rsid w:val="00E208A2"/>
    <w:rsid w:val="00E222E1"/>
    <w:rsid w:val="00E2275E"/>
    <w:rsid w:val="00E23D52"/>
    <w:rsid w:val="00E30DE3"/>
    <w:rsid w:val="00E41E9A"/>
    <w:rsid w:val="00E42E63"/>
    <w:rsid w:val="00E574E8"/>
    <w:rsid w:val="00E61E80"/>
    <w:rsid w:val="00E64F1A"/>
    <w:rsid w:val="00E700E6"/>
    <w:rsid w:val="00E70C92"/>
    <w:rsid w:val="00E71E80"/>
    <w:rsid w:val="00E93DEE"/>
    <w:rsid w:val="00EA69D5"/>
    <w:rsid w:val="00EB043B"/>
    <w:rsid w:val="00EB1E6E"/>
    <w:rsid w:val="00EB3267"/>
    <w:rsid w:val="00EC44B1"/>
    <w:rsid w:val="00EE0420"/>
    <w:rsid w:val="00EE2A34"/>
    <w:rsid w:val="00EE3AE0"/>
    <w:rsid w:val="00EE5A6A"/>
    <w:rsid w:val="00EF22C7"/>
    <w:rsid w:val="00EF35A3"/>
    <w:rsid w:val="00F10227"/>
    <w:rsid w:val="00F1132E"/>
    <w:rsid w:val="00F14314"/>
    <w:rsid w:val="00F26168"/>
    <w:rsid w:val="00F419C1"/>
    <w:rsid w:val="00F474FA"/>
    <w:rsid w:val="00F50CB4"/>
    <w:rsid w:val="00F50F14"/>
    <w:rsid w:val="00F86D6E"/>
    <w:rsid w:val="00F86DB7"/>
    <w:rsid w:val="00F9586C"/>
    <w:rsid w:val="00FA603F"/>
    <w:rsid w:val="00FB5433"/>
    <w:rsid w:val="00FC0B93"/>
    <w:rsid w:val="00FC1D44"/>
    <w:rsid w:val="00FC6F85"/>
    <w:rsid w:val="00FD0B4F"/>
    <w:rsid w:val="00FD0F83"/>
    <w:rsid w:val="00FD1F0C"/>
    <w:rsid w:val="00FD52EF"/>
    <w:rsid w:val="00FE3610"/>
    <w:rsid w:val="00FE3BC6"/>
    <w:rsid w:val="00FF26A6"/>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2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E6E"/>
    <w:rPr>
      <w:color w:val="0000FF"/>
      <w:u w:val="single"/>
    </w:rPr>
  </w:style>
  <w:style w:type="paragraph" w:styleId="Header">
    <w:name w:val="header"/>
    <w:basedOn w:val="Normal"/>
    <w:link w:val="HeaderChar"/>
    <w:uiPriority w:val="99"/>
    <w:unhideWhenUsed/>
    <w:rsid w:val="003A6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2B"/>
  </w:style>
  <w:style w:type="paragraph" w:styleId="Footer">
    <w:name w:val="footer"/>
    <w:basedOn w:val="Normal"/>
    <w:link w:val="FooterChar"/>
    <w:uiPriority w:val="99"/>
    <w:unhideWhenUsed/>
    <w:rsid w:val="003A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2B"/>
  </w:style>
  <w:style w:type="character" w:customStyle="1" w:styleId="Heading2Char">
    <w:name w:val="Heading 2 Char"/>
    <w:basedOn w:val="DefaultParagraphFont"/>
    <w:link w:val="Heading2"/>
    <w:uiPriority w:val="9"/>
    <w:rsid w:val="004D298E"/>
    <w:rPr>
      <w:rFonts w:ascii="Times New Roman" w:eastAsia="Times New Roman" w:hAnsi="Times New Roman" w:cs="Times New Roman"/>
      <w:b/>
      <w:bCs/>
      <w:sz w:val="36"/>
      <w:szCs w:val="36"/>
    </w:rPr>
  </w:style>
  <w:style w:type="paragraph" w:styleId="NormalWeb">
    <w:name w:val="Normal (Web)"/>
    <w:basedOn w:val="Normal"/>
    <w:uiPriority w:val="99"/>
    <w:unhideWhenUsed/>
    <w:rsid w:val="004D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907"/>
    <w:rPr>
      <w:b/>
      <w:bCs/>
    </w:rPr>
  </w:style>
  <w:style w:type="paragraph" w:styleId="ListParagraph">
    <w:name w:val="List Paragraph"/>
    <w:basedOn w:val="Normal"/>
    <w:uiPriority w:val="34"/>
    <w:qFormat/>
    <w:rsid w:val="00831F3B"/>
    <w:pPr>
      <w:ind w:left="720"/>
      <w:contextualSpacing/>
    </w:pPr>
  </w:style>
  <w:style w:type="paragraph" w:styleId="NoSpacing">
    <w:name w:val="No Spacing"/>
    <w:uiPriority w:val="1"/>
    <w:qFormat/>
    <w:rsid w:val="0074140F"/>
    <w:pPr>
      <w:spacing w:after="0" w:line="240" w:lineRule="auto"/>
    </w:pPr>
  </w:style>
  <w:style w:type="paragraph" w:customStyle="1" w:styleId="Default">
    <w:name w:val="Default"/>
    <w:rsid w:val="007414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2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E6E"/>
    <w:rPr>
      <w:color w:val="0000FF"/>
      <w:u w:val="single"/>
    </w:rPr>
  </w:style>
  <w:style w:type="paragraph" w:styleId="Header">
    <w:name w:val="header"/>
    <w:basedOn w:val="Normal"/>
    <w:link w:val="HeaderChar"/>
    <w:uiPriority w:val="99"/>
    <w:unhideWhenUsed/>
    <w:rsid w:val="003A6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2B"/>
  </w:style>
  <w:style w:type="paragraph" w:styleId="Footer">
    <w:name w:val="footer"/>
    <w:basedOn w:val="Normal"/>
    <w:link w:val="FooterChar"/>
    <w:uiPriority w:val="99"/>
    <w:unhideWhenUsed/>
    <w:rsid w:val="003A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2B"/>
  </w:style>
  <w:style w:type="character" w:customStyle="1" w:styleId="Heading2Char">
    <w:name w:val="Heading 2 Char"/>
    <w:basedOn w:val="DefaultParagraphFont"/>
    <w:link w:val="Heading2"/>
    <w:uiPriority w:val="9"/>
    <w:rsid w:val="004D298E"/>
    <w:rPr>
      <w:rFonts w:ascii="Times New Roman" w:eastAsia="Times New Roman" w:hAnsi="Times New Roman" w:cs="Times New Roman"/>
      <w:b/>
      <w:bCs/>
      <w:sz w:val="36"/>
      <w:szCs w:val="36"/>
    </w:rPr>
  </w:style>
  <w:style w:type="paragraph" w:styleId="NormalWeb">
    <w:name w:val="Normal (Web)"/>
    <w:basedOn w:val="Normal"/>
    <w:uiPriority w:val="99"/>
    <w:unhideWhenUsed/>
    <w:rsid w:val="004D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907"/>
    <w:rPr>
      <w:b/>
      <w:bCs/>
    </w:rPr>
  </w:style>
  <w:style w:type="paragraph" w:styleId="ListParagraph">
    <w:name w:val="List Paragraph"/>
    <w:basedOn w:val="Normal"/>
    <w:uiPriority w:val="34"/>
    <w:qFormat/>
    <w:rsid w:val="00831F3B"/>
    <w:pPr>
      <w:ind w:left="720"/>
      <w:contextualSpacing/>
    </w:pPr>
  </w:style>
  <w:style w:type="paragraph" w:styleId="NoSpacing">
    <w:name w:val="No Spacing"/>
    <w:uiPriority w:val="1"/>
    <w:qFormat/>
    <w:rsid w:val="0074140F"/>
    <w:pPr>
      <w:spacing w:after="0" w:line="240" w:lineRule="auto"/>
    </w:pPr>
  </w:style>
  <w:style w:type="paragraph" w:customStyle="1" w:styleId="Default">
    <w:name w:val="Default"/>
    <w:rsid w:val="0074140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9909">
      <w:bodyDiv w:val="1"/>
      <w:marLeft w:val="0"/>
      <w:marRight w:val="0"/>
      <w:marTop w:val="0"/>
      <w:marBottom w:val="0"/>
      <w:divBdr>
        <w:top w:val="none" w:sz="0" w:space="0" w:color="auto"/>
        <w:left w:val="none" w:sz="0" w:space="0" w:color="auto"/>
        <w:bottom w:val="none" w:sz="0" w:space="0" w:color="auto"/>
        <w:right w:val="none" w:sz="0" w:space="0" w:color="auto"/>
      </w:divBdr>
    </w:div>
    <w:div w:id="1574244623">
      <w:bodyDiv w:val="1"/>
      <w:marLeft w:val="0"/>
      <w:marRight w:val="0"/>
      <w:marTop w:val="0"/>
      <w:marBottom w:val="0"/>
      <w:divBdr>
        <w:top w:val="none" w:sz="0" w:space="0" w:color="auto"/>
        <w:left w:val="none" w:sz="0" w:space="0" w:color="auto"/>
        <w:bottom w:val="none" w:sz="0" w:space="0" w:color="auto"/>
        <w:right w:val="none" w:sz="0" w:space="0" w:color="auto"/>
      </w:divBdr>
      <w:divsChild>
        <w:div w:id="338042385">
          <w:marLeft w:val="0"/>
          <w:marRight w:val="0"/>
          <w:marTop w:val="150"/>
          <w:marBottom w:val="150"/>
          <w:divBdr>
            <w:top w:val="none" w:sz="0" w:space="0" w:color="auto"/>
            <w:left w:val="none" w:sz="0" w:space="0" w:color="auto"/>
            <w:bottom w:val="dashed" w:sz="6" w:space="0" w:color="E3E3E3"/>
            <w:right w:val="none" w:sz="0" w:space="0" w:color="auto"/>
          </w:divBdr>
          <w:divsChild>
            <w:div w:id="1377043170">
              <w:marLeft w:val="0"/>
              <w:marRight w:val="0"/>
              <w:marTop w:val="0"/>
              <w:marBottom w:val="0"/>
              <w:divBdr>
                <w:top w:val="none" w:sz="0" w:space="0" w:color="auto"/>
                <w:left w:val="none" w:sz="0" w:space="0" w:color="auto"/>
                <w:bottom w:val="none" w:sz="0" w:space="0" w:color="auto"/>
                <w:right w:val="none" w:sz="0" w:space="0" w:color="auto"/>
              </w:divBdr>
            </w:div>
          </w:divsChild>
        </w:div>
        <w:div w:id="298069568">
          <w:marLeft w:val="0"/>
          <w:marRight w:val="300"/>
          <w:marTop w:val="0"/>
          <w:marBottom w:val="0"/>
          <w:divBdr>
            <w:top w:val="none" w:sz="0" w:space="0" w:color="auto"/>
            <w:left w:val="none" w:sz="0" w:space="0" w:color="auto"/>
            <w:bottom w:val="none" w:sz="0" w:space="0" w:color="auto"/>
            <w:right w:val="none" w:sz="0" w:space="0" w:color="auto"/>
          </w:divBdr>
        </w:div>
        <w:div w:id="171222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E301-8115-4DA4-9DA4-7A8E7129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Mayers</dc:creator>
  <cp:lastModifiedBy>isuser</cp:lastModifiedBy>
  <cp:revision>2</cp:revision>
  <cp:lastPrinted>2021-03-24T13:22:00Z</cp:lastPrinted>
  <dcterms:created xsi:type="dcterms:W3CDTF">2021-03-24T13:26:00Z</dcterms:created>
  <dcterms:modified xsi:type="dcterms:W3CDTF">2021-03-24T13:26:00Z</dcterms:modified>
</cp:coreProperties>
</file>