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58" w:rsidRPr="001120B0" w:rsidRDefault="00D83458" w:rsidP="00D83458">
      <w:pPr>
        <w:pStyle w:val="Footer"/>
        <w:tabs>
          <w:tab w:val="left" w:pos="720"/>
        </w:tabs>
        <w:jc w:val="center"/>
        <w:rPr>
          <w:b/>
          <w:bCs/>
          <w:sz w:val="28"/>
          <w:szCs w:val="28"/>
        </w:rPr>
      </w:pPr>
      <w:r w:rsidRPr="001120B0">
        <w:rPr>
          <w:b/>
          <w:bCs/>
          <w:noProof/>
          <w:sz w:val="28"/>
          <w:szCs w:val="28"/>
        </w:rPr>
        <w:drawing>
          <wp:inline distT="0" distB="0" distL="0" distR="0" wp14:anchorId="669DEBEE" wp14:editId="5370F715">
            <wp:extent cx="835904" cy="746760"/>
            <wp:effectExtent l="19050" t="0" r="2296" b="0"/>
            <wp:docPr id="2" name="Picture 6"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tofarms"/>
                    <pic:cNvPicPr>
                      <a:picLocks noChangeAspect="1" noChangeArrowheads="1"/>
                    </pic:cNvPicPr>
                  </pic:nvPicPr>
                  <pic:blipFill>
                    <a:blip r:embed="rId7" cstate="print"/>
                    <a:srcRect/>
                    <a:stretch>
                      <a:fillRect/>
                    </a:stretch>
                  </pic:blipFill>
                  <pic:spPr bwMode="auto">
                    <a:xfrm>
                      <a:off x="0" y="0"/>
                      <a:ext cx="835904" cy="746760"/>
                    </a:xfrm>
                    <a:prstGeom prst="rect">
                      <a:avLst/>
                    </a:prstGeom>
                    <a:noFill/>
                    <a:ln w="9525">
                      <a:noFill/>
                      <a:miter lim="800000"/>
                      <a:headEnd/>
                      <a:tailEnd/>
                    </a:ln>
                  </pic:spPr>
                </pic:pic>
              </a:graphicData>
            </a:graphic>
          </wp:inline>
        </w:drawing>
      </w:r>
    </w:p>
    <w:p w:rsidR="00D83458" w:rsidRPr="00D83458" w:rsidRDefault="00D83458" w:rsidP="00D83458">
      <w:pPr>
        <w:pStyle w:val="Footer"/>
        <w:tabs>
          <w:tab w:val="left" w:pos="720"/>
        </w:tabs>
        <w:jc w:val="center"/>
        <w:rPr>
          <w:rFonts w:ascii="Times New Roman" w:hAnsi="Times New Roman" w:cs="Times New Roman"/>
          <w:b/>
          <w:bCs/>
          <w:sz w:val="28"/>
          <w:szCs w:val="28"/>
        </w:rPr>
      </w:pPr>
      <w:r w:rsidRPr="00D83458">
        <w:rPr>
          <w:rFonts w:ascii="Times New Roman" w:hAnsi="Times New Roman" w:cs="Times New Roman"/>
          <w:b/>
          <w:bCs/>
          <w:sz w:val="28"/>
          <w:szCs w:val="28"/>
        </w:rPr>
        <w:t>Government of the Republic of Trinidad and Tobago</w:t>
      </w:r>
    </w:p>
    <w:p w:rsidR="00D83458" w:rsidRPr="00D83458" w:rsidRDefault="00D83458" w:rsidP="00D83458">
      <w:pPr>
        <w:pStyle w:val="Footer"/>
        <w:tabs>
          <w:tab w:val="left" w:pos="720"/>
        </w:tabs>
        <w:jc w:val="center"/>
        <w:rPr>
          <w:rFonts w:ascii="Times New Roman" w:hAnsi="Times New Roman" w:cs="Times New Roman"/>
          <w:b/>
          <w:bCs/>
          <w:sz w:val="28"/>
          <w:szCs w:val="28"/>
        </w:rPr>
      </w:pPr>
      <w:r w:rsidRPr="00D83458">
        <w:rPr>
          <w:rFonts w:ascii="Times New Roman" w:hAnsi="Times New Roman" w:cs="Times New Roman"/>
          <w:b/>
          <w:bCs/>
          <w:sz w:val="28"/>
          <w:szCs w:val="28"/>
        </w:rPr>
        <w:t>Office  of the Prime Minister</w:t>
      </w:r>
    </w:p>
    <w:p w:rsidR="00D83458" w:rsidRPr="00A77428" w:rsidRDefault="00D83458" w:rsidP="00D83458">
      <w:pPr>
        <w:pStyle w:val="Footer"/>
        <w:tabs>
          <w:tab w:val="left" w:pos="720"/>
        </w:tabs>
        <w:jc w:val="center"/>
        <w:rPr>
          <w:rFonts w:cstheme="minorHAnsi"/>
          <w:b/>
          <w:bCs/>
        </w:rPr>
      </w:pPr>
    </w:p>
    <w:p w:rsidR="00D83458" w:rsidRPr="00A77428" w:rsidRDefault="00D83458" w:rsidP="00D83458">
      <w:pPr>
        <w:pStyle w:val="Footer"/>
        <w:tabs>
          <w:tab w:val="left" w:pos="720"/>
        </w:tabs>
        <w:jc w:val="center"/>
        <w:rPr>
          <w:rFonts w:cstheme="minorHAnsi"/>
          <w:b/>
          <w:bCs/>
        </w:rPr>
      </w:pPr>
    </w:p>
    <w:p w:rsidR="00D83458" w:rsidRPr="00A77428" w:rsidRDefault="00D83458" w:rsidP="00D83458">
      <w:pPr>
        <w:pStyle w:val="Footer"/>
        <w:tabs>
          <w:tab w:val="left" w:pos="720"/>
        </w:tabs>
        <w:jc w:val="center"/>
        <w:rPr>
          <w:rFonts w:cstheme="minorHAnsi"/>
          <w:b/>
          <w:bCs/>
          <w:sz w:val="28"/>
          <w:szCs w:val="28"/>
        </w:rPr>
      </w:pPr>
      <w:r w:rsidRPr="00A77428">
        <w:rPr>
          <w:rFonts w:cstheme="minorHAnsi"/>
          <w:b/>
          <w:bCs/>
          <w:noProof/>
          <w:sz w:val="28"/>
          <w:szCs w:val="28"/>
        </w:rPr>
        <mc:AlternateContent>
          <mc:Choice Requires="wps">
            <w:drawing>
              <wp:anchor distT="0" distB="0" distL="114300" distR="114300" simplePos="0" relativeHeight="251659264" behindDoc="0" locked="0" layoutInCell="1" allowOverlap="1" wp14:anchorId="2FC3B081" wp14:editId="01571078">
                <wp:simplePos x="0" y="0"/>
                <wp:positionH relativeFrom="column">
                  <wp:posOffset>15240</wp:posOffset>
                </wp:positionH>
                <wp:positionV relativeFrom="paragraph">
                  <wp:posOffset>635</wp:posOffset>
                </wp:positionV>
                <wp:extent cx="5934973" cy="5265420"/>
                <wp:effectExtent l="0" t="0" r="27940" b="11430"/>
                <wp:wrapNone/>
                <wp:docPr id="1" name="Rectangle 1"/>
                <wp:cNvGraphicFramePr/>
                <a:graphic xmlns:a="http://schemas.openxmlformats.org/drawingml/2006/main">
                  <a:graphicData uri="http://schemas.microsoft.com/office/word/2010/wordprocessingShape">
                    <wps:wsp>
                      <wps:cNvSpPr/>
                      <wps:spPr>
                        <a:xfrm>
                          <a:off x="0" y="0"/>
                          <a:ext cx="5934973" cy="5265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91CDEC" id="Rectangle 1" o:spid="_x0000_s1026" style="position:absolute;margin-left:1.2pt;margin-top:.05pt;width:467.3pt;height:41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" filled="f" strokecolor="black [3213]" strokeweight="1pt"/>
            </w:pict>
          </mc:Fallback>
        </mc:AlternateContent>
      </w:r>
    </w:p>
    <w:p w:rsidR="00D83458" w:rsidRDefault="00D83458" w:rsidP="00D83458">
      <w:pPr>
        <w:pStyle w:val="Footer"/>
        <w:tabs>
          <w:tab w:val="left" w:pos="720"/>
        </w:tabs>
        <w:jc w:val="center"/>
        <w:rPr>
          <w:rFonts w:cstheme="minorHAnsi"/>
          <w:b/>
          <w:bCs/>
          <w:sz w:val="28"/>
          <w:szCs w:val="28"/>
        </w:rPr>
      </w:pPr>
    </w:p>
    <w:p w:rsidR="00D83458" w:rsidRDefault="00D83458" w:rsidP="00D83458">
      <w:pPr>
        <w:pStyle w:val="Footer"/>
        <w:tabs>
          <w:tab w:val="left" w:pos="720"/>
        </w:tabs>
        <w:jc w:val="center"/>
        <w:rPr>
          <w:rFonts w:cstheme="minorHAnsi"/>
          <w:b/>
          <w:bCs/>
          <w:sz w:val="28"/>
          <w:szCs w:val="28"/>
        </w:rPr>
      </w:pPr>
    </w:p>
    <w:p w:rsidR="00D83458" w:rsidRDefault="00D83458" w:rsidP="00D83458">
      <w:pPr>
        <w:pStyle w:val="Footer"/>
        <w:tabs>
          <w:tab w:val="left" w:pos="720"/>
        </w:tabs>
        <w:jc w:val="center"/>
        <w:rPr>
          <w:rFonts w:cstheme="minorHAnsi"/>
          <w:b/>
          <w:bCs/>
          <w:sz w:val="28"/>
          <w:szCs w:val="28"/>
        </w:rPr>
      </w:pPr>
    </w:p>
    <w:p w:rsidR="00D83458" w:rsidRPr="00A77428" w:rsidRDefault="00042D11" w:rsidP="00D83458">
      <w:pPr>
        <w:pStyle w:val="Footer"/>
        <w:tabs>
          <w:tab w:val="left" w:pos="720"/>
        </w:tabs>
        <w:jc w:val="center"/>
        <w:rPr>
          <w:rFonts w:cstheme="minorHAnsi"/>
          <w:b/>
          <w:bCs/>
          <w:sz w:val="28"/>
          <w:szCs w:val="28"/>
        </w:rPr>
      </w:pPr>
      <w:r>
        <w:rPr>
          <w:rFonts w:cstheme="minorHAnsi"/>
          <w:b/>
          <w:bCs/>
          <w:sz w:val="28"/>
          <w:szCs w:val="28"/>
        </w:rPr>
        <w:t xml:space="preserve">Feature </w:t>
      </w:r>
      <w:r w:rsidR="00D83458" w:rsidRPr="00A77428">
        <w:rPr>
          <w:rFonts w:cstheme="minorHAnsi"/>
          <w:b/>
          <w:bCs/>
          <w:sz w:val="28"/>
          <w:szCs w:val="28"/>
        </w:rPr>
        <w:t>Address</w:t>
      </w:r>
    </w:p>
    <w:p w:rsidR="00D83458" w:rsidRPr="00A77428" w:rsidRDefault="00D83458" w:rsidP="00D83458">
      <w:pPr>
        <w:pStyle w:val="Footer"/>
        <w:tabs>
          <w:tab w:val="left" w:pos="720"/>
        </w:tabs>
        <w:jc w:val="center"/>
        <w:rPr>
          <w:rFonts w:cstheme="minorHAnsi"/>
          <w:b/>
          <w:bCs/>
          <w:sz w:val="28"/>
          <w:szCs w:val="28"/>
        </w:rPr>
      </w:pPr>
    </w:p>
    <w:p w:rsidR="00D83458" w:rsidRPr="00A77428" w:rsidRDefault="00D83458" w:rsidP="00D83458">
      <w:pPr>
        <w:pStyle w:val="Footer"/>
        <w:tabs>
          <w:tab w:val="left" w:pos="720"/>
        </w:tabs>
        <w:jc w:val="center"/>
        <w:rPr>
          <w:rFonts w:cstheme="minorHAnsi"/>
          <w:b/>
          <w:bCs/>
          <w:sz w:val="28"/>
          <w:szCs w:val="28"/>
        </w:rPr>
      </w:pPr>
    </w:p>
    <w:p w:rsidR="00D83458" w:rsidRPr="00A77428" w:rsidRDefault="00D83458" w:rsidP="00D83458">
      <w:pPr>
        <w:pStyle w:val="Footer"/>
        <w:tabs>
          <w:tab w:val="left" w:pos="720"/>
        </w:tabs>
        <w:jc w:val="center"/>
        <w:rPr>
          <w:rFonts w:cstheme="minorHAnsi"/>
          <w:b/>
          <w:bCs/>
          <w:sz w:val="28"/>
          <w:szCs w:val="28"/>
        </w:rPr>
      </w:pPr>
      <w:r w:rsidRPr="00A77428">
        <w:rPr>
          <w:rFonts w:cstheme="minorHAnsi"/>
          <w:b/>
          <w:bCs/>
          <w:sz w:val="28"/>
          <w:szCs w:val="28"/>
        </w:rPr>
        <w:t>By</w:t>
      </w:r>
    </w:p>
    <w:p w:rsidR="00D83458" w:rsidRPr="00A77428" w:rsidRDefault="00D83458" w:rsidP="00D83458">
      <w:pPr>
        <w:pStyle w:val="Footer"/>
        <w:tabs>
          <w:tab w:val="left" w:pos="720"/>
        </w:tabs>
        <w:jc w:val="center"/>
        <w:rPr>
          <w:rFonts w:cstheme="minorHAnsi"/>
          <w:b/>
          <w:bCs/>
          <w:sz w:val="28"/>
          <w:szCs w:val="28"/>
        </w:rPr>
      </w:pPr>
    </w:p>
    <w:p w:rsidR="00D83458" w:rsidRPr="004A70B2" w:rsidRDefault="00D83458" w:rsidP="00D83458">
      <w:pPr>
        <w:pStyle w:val="Footer"/>
        <w:tabs>
          <w:tab w:val="left" w:pos="720"/>
        </w:tabs>
        <w:jc w:val="center"/>
        <w:rPr>
          <w:rFonts w:cstheme="minorHAnsi"/>
          <w:b/>
          <w:bCs/>
          <w:sz w:val="28"/>
          <w:szCs w:val="28"/>
        </w:rPr>
      </w:pPr>
      <w:r>
        <w:rPr>
          <w:rFonts w:cstheme="minorHAnsi"/>
          <w:b/>
          <w:bCs/>
          <w:sz w:val="28"/>
          <w:szCs w:val="28"/>
        </w:rPr>
        <w:t xml:space="preserve">Dr. The Honourable </w:t>
      </w:r>
      <w:r w:rsidRPr="004A70B2">
        <w:rPr>
          <w:rFonts w:cstheme="minorHAnsi"/>
          <w:b/>
          <w:bCs/>
          <w:sz w:val="28"/>
          <w:szCs w:val="28"/>
        </w:rPr>
        <w:t>Keith Rowley,</w:t>
      </w:r>
    </w:p>
    <w:p w:rsidR="00D83458" w:rsidRPr="00A77428" w:rsidRDefault="00D83458" w:rsidP="00D83458">
      <w:pPr>
        <w:pStyle w:val="Footer"/>
        <w:tabs>
          <w:tab w:val="left" w:pos="720"/>
        </w:tabs>
        <w:jc w:val="center"/>
        <w:rPr>
          <w:rFonts w:cstheme="minorHAnsi"/>
          <w:b/>
          <w:bCs/>
          <w:sz w:val="28"/>
          <w:szCs w:val="28"/>
        </w:rPr>
      </w:pPr>
      <w:r w:rsidRPr="004A70B2">
        <w:rPr>
          <w:rFonts w:cstheme="minorHAnsi"/>
          <w:b/>
          <w:bCs/>
          <w:sz w:val="28"/>
          <w:szCs w:val="28"/>
        </w:rPr>
        <w:t>Prime Minister of the Republic of Trinidad and Tobago</w:t>
      </w:r>
    </w:p>
    <w:p w:rsidR="00D83458" w:rsidRDefault="00D83458" w:rsidP="00D83458">
      <w:pPr>
        <w:ind w:firstLine="720"/>
        <w:jc w:val="center"/>
        <w:rPr>
          <w:rFonts w:cstheme="minorHAnsi"/>
          <w:b/>
          <w:bCs/>
          <w:sz w:val="28"/>
          <w:szCs w:val="28"/>
        </w:rPr>
      </w:pPr>
    </w:p>
    <w:p w:rsidR="00D83458" w:rsidRDefault="00D83458" w:rsidP="00D83458">
      <w:pPr>
        <w:ind w:firstLine="720"/>
        <w:jc w:val="center"/>
        <w:rPr>
          <w:rFonts w:cstheme="minorHAnsi"/>
          <w:b/>
          <w:sz w:val="28"/>
          <w:szCs w:val="28"/>
        </w:rPr>
      </w:pPr>
      <w:r>
        <w:rPr>
          <w:rFonts w:cstheme="minorHAnsi"/>
          <w:b/>
          <w:sz w:val="28"/>
          <w:szCs w:val="28"/>
        </w:rPr>
        <w:t>Announcement of Agreement between the Government of the Republic of Trinidad and Tobago and Shell Trinidad and Tobago Limited</w:t>
      </w:r>
    </w:p>
    <w:p w:rsidR="00D83458" w:rsidRDefault="00D83458" w:rsidP="00D83458">
      <w:pPr>
        <w:ind w:firstLine="720"/>
        <w:jc w:val="center"/>
        <w:rPr>
          <w:rFonts w:cstheme="minorHAnsi"/>
          <w:b/>
          <w:sz w:val="28"/>
          <w:szCs w:val="28"/>
        </w:rPr>
      </w:pPr>
      <w:r>
        <w:rPr>
          <w:rFonts w:cstheme="minorHAnsi"/>
          <w:b/>
          <w:sz w:val="28"/>
          <w:szCs w:val="28"/>
        </w:rPr>
        <w:t>On</w:t>
      </w:r>
    </w:p>
    <w:p w:rsidR="00D83458" w:rsidRPr="00A77428" w:rsidRDefault="00D83458" w:rsidP="00D83458">
      <w:pPr>
        <w:ind w:firstLine="720"/>
        <w:rPr>
          <w:rFonts w:cstheme="minorHAnsi"/>
          <w:b/>
          <w:sz w:val="28"/>
          <w:szCs w:val="28"/>
        </w:rPr>
      </w:pPr>
      <w:r>
        <w:rPr>
          <w:rFonts w:cstheme="minorHAnsi"/>
          <w:b/>
          <w:sz w:val="28"/>
          <w:szCs w:val="28"/>
        </w:rPr>
        <w:t>Production Sharing Contract for Sub-block 6 D (Manatee Field)</w:t>
      </w:r>
    </w:p>
    <w:p w:rsidR="00D83458" w:rsidRPr="00A77428" w:rsidRDefault="00D83458" w:rsidP="00D83458">
      <w:pPr>
        <w:ind w:left="1332"/>
        <w:jc w:val="center"/>
        <w:rPr>
          <w:rFonts w:cstheme="minorHAnsi"/>
          <w:b/>
          <w:sz w:val="28"/>
          <w:szCs w:val="28"/>
        </w:rPr>
      </w:pPr>
    </w:p>
    <w:p w:rsidR="00D83458" w:rsidRPr="00A77428" w:rsidRDefault="00D83458" w:rsidP="00D83458">
      <w:pPr>
        <w:spacing w:after="100" w:afterAutospacing="1"/>
        <w:jc w:val="center"/>
        <w:rPr>
          <w:rFonts w:cstheme="minorHAnsi"/>
          <w:b/>
          <w:sz w:val="28"/>
          <w:szCs w:val="28"/>
        </w:rPr>
      </w:pPr>
      <w:r>
        <w:rPr>
          <w:rFonts w:cstheme="minorHAnsi"/>
          <w:b/>
          <w:sz w:val="28"/>
          <w:szCs w:val="28"/>
        </w:rPr>
        <w:t xml:space="preserve">November </w:t>
      </w:r>
      <w:r w:rsidR="00B93EE3">
        <w:rPr>
          <w:rFonts w:cstheme="minorHAnsi"/>
          <w:b/>
          <w:sz w:val="28"/>
          <w:szCs w:val="28"/>
        </w:rPr>
        <w:t>17, 2021</w:t>
      </w:r>
    </w:p>
    <w:p w:rsidR="00D83458" w:rsidRPr="00C62492" w:rsidRDefault="00D83458" w:rsidP="00D83458">
      <w:pPr>
        <w:spacing w:after="100" w:afterAutospacing="1"/>
        <w:rPr>
          <w:b/>
          <w:sz w:val="28"/>
          <w:szCs w:val="28"/>
        </w:rPr>
      </w:pPr>
      <w:r>
        <w:rPr>
          <w:b/>
          <w:sz w:val="28"/>
          <w:szCs w:val="28"/>
        </w:rPr>
        <w:t xml:space="preserve">                                              </w:t>
      </w:r>
    </w:p>
    <w:p w:rsidR="00D83458" w:rsidRPr="001120B0" w:rsidRDefault="00D83458" w:rsidP="00D83458">
      <w:pPr>
        <w:spacing w:after="100" w:afterAutospacing="1"/>
        <w:ind w:left="1440" w:firstLine="720"/>
        <w:rPr>
          <w:b/>
          <w:sz w:val="24"/>
          <w:szCs w:val="24"/>
        </w:rPr>
      </w:pPr>
    </w:p>
    <w:p w:rsidR="00D83458" w:rsidRPr="001120B0" w:rsidRDefault="00D83458" w:rsidP="00D83458">
      <w:pPr>
        <w:spacing w:after="100" w:afterAutospacing="1"/>
        <w:rPr>
          <w:sz w:val="28"/>
          <w:szCs w:val="28"/>
        </w:rPr>
      </w:pPr>
      <w:r w:rsidRPr="001120B0">
        <w:rPr>
          <w:sz w:val="28"/>
          <w:szCs w:val="28"/>
        </w:rPr>
        <w:tab/>
      </w:r>
      <w:r w:rsidRPr="001120B0">
        <w:rPr>
          <w:sz w:val="28"/>
          <w:szCs w:val="28"/>
        </w:rPr>
        <w:tab/>
      </w:r>
    </w:p>
    <w:p w:rsidR="00D83458" w:rsidRDefault="00D83458" w:rsidP="00952526">
      <w:pPr>
        <w:spacing w:line="360" w:lineRule="auto"/>
        <w:jc w:val="both"/>
        <w:rPr>
          <w:rFonts w:ascii="Times New Roman" w:hAnsi="Times New Roman" w:cs="Times New Roman"/>
          <w:sz w:val="28"/>
          <w:szCs w:val="28"/>
        </w:rPr>
      </w:pPr>
    </w:p>
    <w:p w:rsidR="008C3FC9" w:rsidRDefault="008C3FC9" w:rsidP="00952526">
      <w:pPr>
        <w:spacing w:line="360" w:lineRule="auto"/>
        <w:jc w:val="both"/>
        <w:rPr>
          <w:rFonts w:ascii="Times New Roman" w:hAnsi="Times New Roman" w:cs="Times New Roman"/>
          <w:sz w:val="28"/>
          <w:szCs w:val="28"/>
        </w:rPr>
      </w:pPr>
    </w:p>
    <w:p w:rsidR="008C3FC9" w:rsidRDefault="008C3FC9" w:rsidP="0095252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SALUTATIONS</w:t>
      </w:r>
    </w:p>
    <w:p w:rsidR="00D31A17" w:rsidRPr="007A48E8" w:rsidRDefault="003A67A3" w:rsidP="00952526">
      <w:pPr>
        <w:spacing w:line="360" w:lineRule="auto"/>
        <w:jc w:val="both"/>
        <w:rPr>
          <w:rFonts w:ascii="Arial" w:hAnsi="Arial" w:cs="Arial"/>
          <w:sz w:val="32"/>
          <w:szCs w:val="32"/>
        </w:rPr>
      </w:pPr>
      <w:r w:rsidRPr="007A48E8">
        <w:rPr>
          <w:rFonts w:ascii="Arial" w:hAnsi="Arial" w:cs="Arial"/>
          <w:sz w:val="32"/>
          <w:szCs w:val="32"/>
        </w:rPr>
        <w:t xml:space="preserve">It is my pleasure to announce the agreement </w:t>
      </w:r>
      <w:r w:rsidR="00952526" w:rsidRPr="007A48E8">
        <w:rPr>
          <w:rFonts w:ascii="Arial" w:hAnsi="Arial" w:cs="Arial"/>
          <w:sz w:val="32"/>
          <w:szCs w:val="32"/>
        </w:rPr>
        <w:t>between</w:t>
      </w:r>
      <w:r w:rsidRPr="007A48E8">
        <w:rPr>
          <w:rFonts w:ascii="Arial" w:hAnsi="Arial" w:cs="Arial"/>
          <w:sz w:val="32"/>
          <w:szCs w:val="32"/>
        </w:rPr>
        <w:t xml:space="preserve"> the Government of Trinidad and Tobago and </w:t>
      </w:r>
      <w:r w:rsidR="00952526" w:rsidRPr="007A48E8">
        <w:rPr>
          <w:rFonts w:ascii="Arial" w:hAnsi="Arial" w:cs="Arial"/>
          <w:sz w:val="32"/>
          <w:szCs w:val="32"/>
        </w:rPr>
        <w:t>Shell Trinidad and Tobago Limited and Shell Trin</w:t>
      </w:r>
      <w:r w:rsidR="007A48E8">
        <w:rPr>
          <w:rFonts w:ascii="Arial" w:hAnsi="Arial" w:cs="Arial"/>
          <w:sz w:val="32"/>
          <w:szCs w:val="32"/>
        </w:rPr>
        <w:t>idad and Tobago Resources SRL (</w:t>
      </w:r>
      <w:r w:rsidR="00952526" w:rsidRPr="007A48E8">
        <w:rPr>
          <w:rFonts w:ascii="Arial" w:hAnsi="Arial" w:cs="Arial"/>
          <w:sz w:val="32"/>
          <w:szCs w:val="32"/>
        </w:rPr>
        <w:t>Shell)</w:t>
      </w:r>
      <w:r w:rsidR="00280247" w:rsidRPr="007A48E8">
        <w:rPr>
          <w:rFonts w:ascii="Arial" w:hAnsi="Arial" w:cs="Arial"/>
          <w:sz w:val="32"/>
          <w:szCs w:val="32"/>
        </w:rPr>
        <w:t xml:space="preserve"> </w:t>
      </w:r>
      <w:r w:rsidRPr="007A48E8">
        <w:rPr>
          <w:rFonts w:ascii="Arial" w:hAnsi="Arial" w:cs="Arial"/>
          <w:sz w:val="32"/>
          <w:szCs w:val="32"/>
        </w:rPr>
        <w:t>on the terms and</w:t>
      </w:r>
      <w:r w:rsidR="00952526" w:rsidRPr="007A48E8">
        <w:rPr>
          <w:rFonts w:ascii="Arial" w:hAnsi="Arial" w:cs="Arial"/>
          <w:sz w:val="32"/>
          <w:szCs w:val="32"/>
        </w:rPr>
        <w:t xml:space="preserve"> conditions of a</w:t>
      </w:r>
      <w:r w:rsidRPr="007A48E8">
        <w:rPr>
          <w:rFonts w:ascii="Arial" w:hAnsi="Arial" w:cs="Arial"/>
          <w:sz w:val="32"/>
          <w:szCs w:val="32"/>
        </w:rPr>
        <w:t xml:space="preserve"> </w:t>
      </w:r>
      <w:r w:rsidR="00952526" w:rsidRPr="007A48E8">
        <w:rPr>
          <w:rFonts w:ascii="Arial" w:hAnsi="Arial" w:cs="Arial"/>
          <w:sz w:val="32"/>
          <w:szCs w:val="32"/>
        </w:rPr>
        <w:t>Production Sharing Contract (PSC) in respect of the Manatee Field located in Sub-Block 6D ((Sub-Block 6D Manatee PSC)  in the East Coast Marine Area of Trinidad and which is a portion of the existing Block 6 Production Sharing Contract (the Block 6 PSC) contracted to Shell</w:t>
      </w:r>
      <w:r w:rsidR="006C7A30" w:rsidRPr="007A48E8">
        <w:rPr>
          <w:rFonts w:ascii="Arial" w:hAnsi="Arial" w:cs="Arial"/>
          <w:sz w:val="32"/>
          <w:szCs w:val="32"/>
        </w:rPr>
        <w:t>.</w:t>
      </w:r>
    </w:p>
    <w:p w:rsidR="00665C4A" w:rsidRPr="007A48E8" w:rsidRDefault="00665C4A" w:rsidP="00952526">
      <w:pPr>
        <w:spacing w:line="360" w:lineRule="auto"/>
        <w:jc w:val="both"/>
        <w:rPr>
          <w:rFonts w:ascii="Arial" w:hAnsi="Arial" w:cs="Arial"/>
          <w:sz w:val="32"/>
          <w:szCs w:val="32"/>
        </w:rPr>
      </w:pPr>
      <w:r w:rsidRPr="007A48E8">
        <w:rPr>
          <w:rFonts w:ascii="Arial" w:eastAsia="MS Mincho" w:hAnsi="Arial" w:cs="Arial"/>
          <w:sz w:val="32"/>
          <w:szCs w:val="32"/>
          <w:lang w:val="en-GB"/>
        </w:rPr>
        <w:t>The project will be one</w:t>
      </w:r>
      <w:r w:rsidR="00280247" w:rsidRPr="007A48E8">
        <w:rPr>
          <w:rFonts w:ascii="Arial" w:eastAsia="MS Mincho" w:hAnsi="Arial" w:cs="Arial"/>
          <w:sz w:val="32"/>
          <w:szCs w:val="32"/>
          <w:lang w:val="en-GB"/>
        </w:rPr>
        <w:t xml:space="preserve"> of </w:t>
      </w:r>
      <w:r w:rsidRPr="007A48E8">
        <w:rPr>
          <w:rFonts w:ascii="Arial" w:eastAsia="MS Mincho" w:hAnsi="Arial" w:cs="Arial"/>
          <w:sz w:val="32"/>
          <w:szCs w:val="32"/>
          <w:lang w:val="en-GB"/>
        </w:rPr>
        <w:t>the largest natural gas developments to be undertaken in the country. Based on the development concept, the operating and capital expenditure is estimated at US$1.8 billion. The upstream activity that will be generated by the project will create opportunities for the domestic energy service industry and other service providers.</w:t>
      </w:r>
    </w:p>
    <w:p w:rsidR="00FC35D5" w:rsidRPr="007A48E8" w:rsidRDefault="00815EE9" w:rsidP="000C05ED">
      <w:pPr>
        <w:spacing w:after="0" w:line="360" w:lineRule="auto"/>
        <w:jc w:val="both"/>
        <w:rPr>
          <w:rFonts w:ascii="Arial" w:hAnsi="Arial" w:cs="Arial"/>
          <w:sz w:val="32"/>
          <w:szCs w:val="32"/>
        </w:rPr>
      </w:pPr>
      <w:r w:rsidRPr="007A48E8">
        <w:rPr>
          <w:rFonts w:ascii="Arial" w:hAnsi="Arial" w:cs="Arial"/>
          <w:sz w:val="32"/>
          <w:szCs w:val="32"/>
        </w:rPr>
        <w:t xml:space="preserve">The Manatee field, forms a part of the Loran- Manatee cross-border field, with Loran </w:t>
      </w:r>
      <w:r w:rsidR="007A48E8" w:rsidRPr="007A48E8">
        <w:rPr>
          <w:rFonts w:ascii="Arial" w:hAnsi="Arial" w:cs="Arial"/>
          <w:sz w:val="32"/>
          <w:szCs w:val="32"/>
        </w:rPr>
        <w:t>being located</w:t>
      </w:r>
      <w:r w:rsidRPr="007A48E8">
        <w:rPr>
          <w:rFonts w:ascii="Arial" w:hAnsi="Arial" w:cs="Arial"/>
          <w:sz w:val="32"/>
          <w:szCs w:val="32"/>
        </w:rPr>
        <w:t xml:space="preserve"> in the marine area of Venezuela. The Loran-Manatee</w:t>
      </w:r>
      <w:r w:rsidR="00280247" w:rsidRPr="007A48E8">
        <w:rPr>
          <w:rFonts w:ascii="Arial" w:hAnsi="Arial" w:cs="Arial"/>
          <w:sz w:val="32"/>
          <w:szCs w:val="32"/>
        </w:rPr>
        <w:t xml:space="preserve"> </w:t>
      </w:r>
      <w:r w:rsidR="007A48E8" w:rsidRPr="007A48E8">
        <w:rPr>
          <w:rFonts w:ascii="Arial" w:hAnsi="Arial" w:cs="Arial"/>
          <w:sz w:val="32"/>
          <w:szCs w:val="32"/>
        </w:rPr>
        <w:t>reservoir has</w:t>
      </w:r>
      <w:r w:rsidRPr="007A48E8">
        <w:rPr>
          <w:rFonts w:ascii="Arial" w:hAnsi="Arial" w:cs="Arial"/>
          <w:sz w:val="32"/>
          <w:szCs w:val="32"/>
        </w:rPr>
        <w:t xml:space="preserve"> an estimated resource of 10.04 tcf, </w:t>
      </w:r>
      <w:r w:rsidR="00280247" w:rsidRPr="007A48E8">
        <w:rPr>
          <w:rFonts w:ascii="Arial" w:hAnsi="Arial" w:cs="Arial"/>
          <w:sz w:val="32"/>
          <w:szCs w:val="32"/>
        </w:rPr>
        <w:t xml:space="preserve">of which </w:t>
      </w:r>
      <w:r w:rsidRPr="007A48E8">
        <w:rPr>
          <w:rFonts w:ascii="Arial" w:hAnsi="Arial" w:cs="Arial"/>
          <w:sz w:val="32"/>
          <w:szCs w:val="32"/>
        </w:rPr>
        <w:t xml:space="preserve">2.712 tcf </w:t>
      </w:r>
      <w:r w:rsidR="00280247" w:rsidRPr="007A48E8">
        <w:rPr>
          <w:rFonts w:ascii="Arial" w:hAnsi="Arial" w:cs="Arial"/>
          <w:sz w:val="32"/>
          <w:szCs w:val="32"/>
        </w:rPr>
        <w:t xml:space="preserve">is </w:t>
      </w:r>
      <w:r w:rsidRPr="007A48E8">
        <w:rPr>
          <w:rFonts w:ascii="Arial" w:hAnsi="Arial" w:cs="Arial"/>
          <w:sz w:val="32"/>
          <w:szCs w:val="32"/>
        </w:rPr>
        <w:t xml:space="preserve">within the Manatee field. </w:t>
      </w:r>
      <w:r w:rsidR="00D65648" w:rsidRPr="007A48E8">
        <w:rPr>
          <w:rFonts w:ascii="Arial" w:hAnsi="Arial" w:cs="Arial"/>
          <w:sz w:val="32"/>
          <w:szCs w:val="32"/>
        </w:rPr>
        <w:t>On August 16, 2010</w:t>
      </w:r>
      <w:r w:rsidR="00D47EB3" w:rsidRPr="007A48E8">
        <w:rPr>
          <w:rFonts w:ascii="Arial" w:hAnsi="Arial" w:cs="Arial"/>
          <w:sz w:val="32"/>
          <w:szCs w:val="32"/>
        </w:rPr>
        <w:t xml:space="preserve"> </w:t>
      </w:r>
      <w:r w:rsidRPr="007A48E8">
        <w:rPr>
          <w:rFonts w:ascii="Arial" w:eastAsia="Times New Roman" w:hAnsi="Arial" w:cs="Arial"/>
          <w:sz w:val="32"/>
          <w:szCs w:val="32"/>
        </w:rPr>
        <w:t xml:space="preserve">the </w:t>
      </w:r>
      <w:r w:rsidRPr="007A48E8">
        <w:rPr>
          <w:rFonts w:ascii="Arial" w:hAnsi="Arial" w:cs="Arial"/>
          <w:sz w:val="32"/>
          <w:szCs w:val="32"/>
        </w:rPr>
        <w:t xml:space="preserve">Government of the Republic of Trinidad and Tobago and the Government of the Bolivarian Republic of Venezuela executed </w:t>
      </w:r>
      <w:r w:rsidR="00D47EB3" w:rsidRPr="007A48E8">
        <w:rPr>
          <w:rFonts w:ascii="Arial" w:eastAsia="MS Mincho" w:hAnsi="Arial" w:cs="Arial"/>
          <w:sz w:val="32"/>
          <w:szCs w:val="32"/>
          <w:lang w:val="en-GB"/>
        </w:rPr>
        <w:t xml:space="preserve">a Unitisation Agreement for the </w:t>
      </w:r>
      <w:r w:rsidR="00D47EB3" w:rsidRPr="007A48E8">
        <w:rPr>
          <w:rFonts w:ascii="Arial" w:eastAsia="MS Mincho" w:hAnsi="Arial" w:cs="Arial"/>
          <w:sz w:val="32"/>
          <w:szCs w:val="32"/>
          <w:lang w:val="en-GB"/>
        </w:rPr>
        <w:lastRenderedPageBreak/>
        <w:t>Exploitation and Development of the Loran-Manatee field.</w:t>
      </w:r>
      <w:r w:rsidR="00FD3DED" w:rsidRPr="007A48E8">
        <w:rPr>
          <w:rFonts w:ascii="Arial" w:eastAsia="MS Mincho" w:hAnsi="Arial" w:cs="Arial"/>
          <w:sz w:val="32"/>
          <w:szCs w:val="32"/>
          <w:lang w:val="en-GB"/>
        </w:rPr>
        <w:t xml:space="preserve"> </w:t>
      </w:r>
      <w:r w:rsidR="00402D3E" w:rsidRPr="007A48E8">
        <w:rPr>
          <w:rFonts w:ascii="Arial" w:eastAsia="MS Mincho" w:hAnsi="Arial" w:cs="Arial"/>
          <w:sz w:val="32"/>
          <w:szCs w:val="32"/>
          <w:lang w:val="en-GB"/>
        </w:rPr>
        <w:t>An absence of urgency and no definitive commitment to making the necessary investment among the various interested parties saw this proven resource remaining dormant as though stranded.</w:t>
      </w:r>
    </w:p>
    <w:p w:rsidR="002334E4" w:rsidRPr="007A48E8" w:rsidRDefault="00FC35D5" w:rsidP="00E53DA5">
      <w:pPr>
        <w:tabs>
          <w:tab w:val="left" w:pos="720"/>
          <w:tab w:val="left" w:pos="1440"/>
        </w:tabs>
        <w:adjustRightInd w:val="0"/>
        <w:spacing w:after="240" w:line="360" w:lineRule="auto"/>
        <w:jc w:val="both"/>
        <w:rPr>
          <w:rFonts w:ascii="Arial" w:eastAsia="MS Mincho" w:hAnsi="Arial" w:cs="Arial"/>
          <w:sz w:val="32"/>
          <w:szCs w:val="32"/>
          <w:lang w:val="en-GB"/>
        </w:rPr>
      </w:pPr>
      <w:r w:rsidRPr="007A48E8">
        <w:rPr>
          <w:rFonts w:ascii="Arial" w:hAnsi="Arial" w:cs="Arial"/>
          <w:sz w:val="32"/>
          <w:szCs w:val="32"/>
        </w:rPr>
        <w:t>Therefore</w:t>
      </w:r>
      <w:r w:rsidR="00595A55" w:rsidRPr="007A48E8">
        <w:rPr>
          <w:rFonts w:ascii="Arial" w:hAnsi="Arial" w:cs="Arial"/>
          <w:sz w:val="32"/>
          <w:szCs w:val="32"/>
        </w:rPr>
        <w:t>,</w:t>
      </w:r>
      <w:r w:rsidR="00815EE9" w:rsidRPr="007A48E8">
        <w:rPr>
          <w:rFonts w:ascii="Arial" w:hAnsi="Arial" w:cs="Arial"/>
          <w:sz w:val="32"/>
          <w:szCs w:val="32"/>
        </w:rPr>
        <w:t xml:space="preserve"> the Government of the Republic of Trinidad and Tobago and the Bolivarian Government of Venezuela</w:t>
      </w:r>
      <w:r w:rsidR="00B11231" w:rsidRPr="007A48E8">
        <w:rPr>
          <w:rFonts w:ascii="Arial" w:hAnsi="Arial" w:cs="Arial"/>
          <w:sz w:val="32"/>
          <w:szCs w:val="32"/>
        </w:rPr>
        <w:t xml:space="preserve"> </w:t>
      </w:r>
      <w:r w:rsidR="00815EE9" w:rsidRPr="007A48E8">
        <w:rPr>
          <w:rFonts w:ascii="Arial" w:hAnsi="Arial" w:cs="Arial"/>
          <w:sz w:val="32"/>
          <w:szCs w:val="32"/>
        </w:rPr>
        <w:t>agreed to the independent development by each Government of the field within the Loran-Manatee cross-border</w:t>
      </w:r>
      <w:r w:rsidR="00665C4A" w:rsidRPr="007A48E8">
        <w:rPr>
          <w:rFonts w:ascii="Arial" w:hAnsi="Arial" w:cs="Arial"/>
          <w:sz w:val="32"/>
          <w:szCs w:val="32"/>
        </w:rPr>
        <w:t>,</w:t>
      </w:r>
      <w:r w:rsidR="00815EE9" w:rsidRPr="007A48E8">
        <w:rPr>
          <w:rFonts w:ascii="Arial" w:hAnsi="Arial" w:cs="Arial"/>
          <w:sz w:val="32"/>
          <w:szCs w:val="32"/>
        </w:rPr>
        <w:t xml:space="preserve"> that falls within its marine area.</w:t>
      </w:r>
      <w:r w:rsidR="00E53DA5" w:rsidRPr="007A48E8">
        <w:rPr>
          <w:rFonts w:ascii="Arial" w:hAnsi="Arial" w:cs="Arial"/>
          <w:sz w:val="32"/>
          <w:szCs w:val="32"/>
        </w:rPr>
        <w:t xml:space="preserve"> </w:t>
      </w:r>
      <w:r w:rsidR="00E53DA5" w:rsidRPr="007A48E8">
        <w:rPr>
          <w:rFonts w:ascii="Arial" w:eastAsia="MS Mincho" w:hAnsi="Arial" w:cs="Arial"/>
          <w:sz w:val="32"/>
          <w:szCs w:val="32"/>
          <w:lang w:val="en-GB"/>
        </w:rPr>
        <w:t xml:space="preserve">By Government to Government Agreement dated October </w:t>
      </w:r>
      <w:r w:rsidR="00F25C06" w:rsidRPr="007A48E8">
        <w:rPr>
          <w:rFonts w:ascii="Arial" w:eastAsia="MS Mincho" w:hAnsi="Arial" w:cs="Arial"/>
          <w:sz w:val="32"/>
          <w:szCs w:val="32"/>
          <w:lang w:val="en-GB"/>
        </w:rPr>
        <w:t xml:space="preserve">15, </w:t>
      </w:r>
      <w:r w:rsidR="00E53DA5" w:rsidRPr="007A48E8">
        <w:rPr>
          <w:rFonts w:ascii="Arial" w:eastAsia="MS Mincho" w:hAnsi="Arial" w:cs="Arial"/>
          <w:sz w:val="32"/>
          <w:szCs w:val="32"/>
          <w:lang w:val="en-GB"/>
        </w:rPr>
        <w:t>2019</w:t>
      </w:r>
      <w:r w:rsidR="00665C4A" w:rsidRPr="007A48E8">
        <w:rPr>
          <w:rFonts w:ascii="Arial" w:eastAsia="MS Mincho" w:hAnsi="Arial" w:cs="Arial"/>
          <w:sz w:val="32"/>
          <w:szCs w:val="32"/>
          <w:lang w:val="en-GB"/>
        </w:rPr>
        <w:t>,</w:t>
      </w:r>
      <w:r w:rsidR="00E53DA5" w:rsidRPr="007A48E8">
        <w:rPr>
          <w:rFonts w:ascii="Arial" w:eastAsia="MS Mincho" w:hAnsi="Arial" w:cs="Arial"/>
          <w:sz w:val="32"/>
          <w:szCs w:val="32"/>
          <w:lang w:val="en-GB"/>
        </w:rPr>
        <w:t xml:space="preserve"> the Loran Manatee Unitisation Agreement was terminated</w:t>
      </w:r>
      <w:r w:rsidR="00665C4A" w:rsidRPr="007A48E8">
        <w:rPr>
          <w:rFonts w:ascii="Arial" w:eastAsia="MS Mincho" w:hAnsi="Arial" w:cs="Arial"/>
          <w:sz w:val="32"/>
          <w:szCs w:val="32"/>
          <w:lang w:val="en-GB"/>
        </w:rPr>
        <w:t>,</w:t>
      </w:r>
      <w:r w:rsidR="00E53DA5" w:rsidRPr="007A48E8">
        <w:rPr>
          <w:rFonts w:ascii="Arial" w:eastAsia="MS Mincho" w:hAnsi="Arial" w:cs="Arial"/>
          <w:sz w:val="32"/>
          <w:szCs w:val="32"/>
          <w:lang w:val="en-GB"/>
        </w:rPr>
        <w:t xml:space="preserve"> delinking the development of the Manatee field from the Loran field. </w:t>
      </w:r>
      <w:r w:rsidR="00D70344" w:rsidRPr="007A48E8">
        <w:rPr>
          <w:rFonts w:ascii="Arial" w:eastAsia="MS Mincho" w:hAnsi="Arial" w:cs="Arial"/>
          <w:sz w:val="32"/>
          <w:szCs w:val="32"/>
          <w:lang w:val="en-GB"/>
        </w:rPr>
        <w:t xml:space="preserve">While the imposition of </w:t>
      </w:r>
      <w:r w:rsidR="00595A55" w:rsidRPr="007A48E8">
        <w:rPr>
          <w:rFonts w:ascii="Arial" w:eastAsia="MS Mincho" w:hAnsi="Arial" w:cs="Arial"/>
          <w:sz w:val="32"/>
          <w:szCs w:val="32"/>
          <w:lang w:val="en-GB"/>
        </w:rPr>
        <w:t xml:space="preserve">US </w:t>
      </w:r>
      <w:r w:rsidR="00D70344" w:rsidRPr="007A48E8">
        <w:rPr>
          <w:rFonts w:ascii="Arial" w:eastAsia="MS Mincho" w:hAnsi="Arial" w:cs="Arial"/>
          <w:sz w:val="32"/>
          <w:szCs w:val="32"/>
          <w:lang w:val="en-GB"/>
        </w:rPr>
        <w:t xml:space="preserve">sanctions may have </w:t>
      </w:r>
      <w:r w:rsidR="00595A55" w:rsidRPr="007A48E8">
        <w:rPr>
          <w:rFonts w:ascii="Arial" w:eastAsia="MS Mincho" w:hAnsi="Arial" w:cs="Arial"/>
          <w:sz w:val="32"/>
          <w:szCs w:val="32"/>
          <w:lang w:val="en-GB"/>
        </w:rPr>
        <w:t xml:space="preserve">temporarily </w:t>
      </w:r>
      <w:r w:rsidR="00D70344" w:rsidRPr="007A48E8">
        <w:rPr>
          <w:rFonts w:ascii="Arial" w:eastAsia="MS Mincho" w:hAnsi="Arial" w:cs="Arial"/>
          <w:sz w:val="32"/>
          <w:szCs w:val="32"/>
          <w:lang w:val="en-GB"/>
        </w:rPr>
        <w:t>derailed our cross-border initiative</w:t>
      </w:r>
      <w:r w:rsidR="00665C4A" w:rsidRPr="007A48E8">
        <w:rPr>
          <w:rFonts w:ascii="Arial" w:eastAsia="MS Mincho" w:hAnsi="Arial" w:cs="Arial"/>
          <w:sz w:val="32"/>
          <w:szCs w:val="32"/>
          <w:lang w:val="en-GB"/>
        </w:rPr>
        <w:t>,</w:t>
      </w:r>
      <w:r w:rsidR="00436394" w:rsidRPr="007A48E8">
        <w:rPr>
          <w:rFonts w:ascii="Arial" w:eastAsia="MS Mincho" w:hAnsi="Arial" w:cs="Arial"/>
          <w:sz w:val="32"/>
          <w:szCs w:val="32"/>
          <w:lang w:val="en-GB"/>
        </w:rPr>
        <w:t xml:space="preserve"> </w:t>
      </w:r>
      <w:r w:rsidR="002334E4" w:rsidRPr="007A48E8">
        <w:rPr>
          <w:rFonts w:ascii="Arial" w:eastAsia="MS Mincho" w:hAnsi="Arial" w:cs="Arial"/>
          <w:sz w:val="32"/>
          <w:szCs w:val="32"/>
          <w:lang w:val="en-GB"/>
        </w:rPr>
        <w:t>this situation is not expected to last indefinitely.</w:t>
      </w:r>
    </w:p>
    <w:p w:rsidR="00CC1145" w:rsidRPr="007A48E8" w:rsidRDefault="00CC1145" w:rsidP="00E53DA5">
      <w:pPr>
        <w:tabs>
          <w:tab w:val="left" w:pos="720"/>
          <w:tab w:val="left" w:pos="1440"/>
        </w:tabs>
        <w:adjustRightInd w:val="0"/>
        <w:spacing w:after="240" w:line="360" w:lineRule="auto"/>
        <w:jc w:val="both"/>
        <w:rPr>
          <w:rFonts w:ascii="Arial" w:hAnsi="Arial" w:cs="Arial"/>
          <w:sz w:val="32"/>
          <w:szCs w:val="32"/>
        </w:rPr>
      </w:pPr>
      <w:r w:rsidRPr="007A48E8">
        <w:rPr>
          <w:rFonts w:ascii="Arial" w:eastAsia="MS Mincho" w:hAnsi="Arial" w:cs="Arial"/>
          <w:sz w:val="32"/>
          <w:szCs w:val="32"/>
          <w:lang w:val="en-GB"/>
        </w:rPr>
        <w:t>Th</w:t>
      </w:r>
      <w:r w:rsidR="00436394" w:rsidRPr="007A48E8">
        <w:rPr>
          <w:rFonts w:ascii="Arial" w:eastAsia="MS Mincho" w:hAnsi="Arial" w:cs="Arial"/>
          <w:sz w:val="32"/>
          <w:szCs w:val="32"/>
          <w:lang w:val="en-GB"/>
        </w:rPr>
        <w:t>e decision to proceed independently on the</w:t>
      </w:r>
      <w:r w:rsidRPr="007A48E8">
        <w:rPr>
          <w:rFonts w:ascii="Arial" w:eastAsia="MS Mincho" w:hAnsi="Arial" w:cs="Arial"/>
          <w:sz w:val="32"/>
          <w:szCs w:val="32"/>
          <w:lang w:val="en-GB"/>
        </w:rPr>
        <w:t xml:space="preserve"> development</w:t>
      </w:r>
      <w:r w:rsidR="00436394" w:rsidRPr="007A48E8">
        <w:rPr>
          <w:rFonts w:ascii="Arial" w:eastAsia="MS Mincho" w:hAnsi="Arial" w:cs="Arial"/>
          <w:sz w:val="32"/>
          <w:szCs w:val="32"/>
          <w:lang w:val="en-GB"/>
        </w:rPr>
        <w:t xml:space="preserve"> of the cross-</w:t>
      </w:r>
      <w:r w:rsidR="007A48E8" w:rsidRPr="007A48E8">
        <w:rPr>
          <w:rFonts w:ascii="Arial" w:eastAsia="MS Mincho" w:hAnsi="Arial" w:cs="Arial"/>
          <w:sz w:val="32"/>
          <w:szCs w:val="32"/>
          <w:lang w:val="en-GB"/>
        </w:rPr>
        <w:t>border fields</w:t>
      </w:r>
      <w:r w:rsidR="00436394" w:rsidRPr="007A48E8">
        <w:rPr>
          <w:rFonts w:ascii="Arial" w:eastAsia="MS Mincho" w:hAnsi="Arial" w:cs="Arial"/>
          <w:sz w:val="32"/>
          <w:szCs w:val="32"/>
          <w:lang w:val="en-GB"/>
        </w:rPr>
        <w:t xml:space="preserve"> </w:t>
      </w:r>
      <w:r w:rsidR="00BF5E17" w:rsidRPr="007A48E8">
        <w:rPr>
          <w:rFonts w:ascii="Arial" w:eastAsia="MS Mincho" w:hAnsi="Arial" w:cs="Arial"/>
          <w:sz w:val="32"/>
          <w:szCs w:val="32"/>
          <w:lang w:val="en-GB"/>
        </w:rPr>
        <w:t xml:space="preserve">created the opportunity </w:t>
      </w:r>
      <w:r w:rsidR="00271D42" w:rsidRPr="007A48E8">
        <w:rPr>
          <w:rFonts w:ascii="Arial" w:eastAsia="MS Mincho" w:hAnsi="Arial" w:cs="Arial"/>
          <w:sz w:val="32"/>
          <w:szCs w:val="32"/>
          <w:lang w:val="en-GB"/>
        </w:rPr>
        <w:t>for</w:t>
      </w:r>
      <w:r w:rsidR="00BF5E17" w:rsidRPr="007A48E8">
        <w:rPr>
          <w:rFonts w:ascii="Arial" w:eastAsia="MS Mincho" w:hAnsi="Arial" w:cs="Arial"/>
          <w:sz w:val="32"/>
          <w:szCs w:val="32"/>
          <w:lang w:val="en-GB"/>
        </w:rPr>
        <w:t xml:space="preserve"> both </w:t>
      </w:r>
      <w:r w:rsidR="00FB3224" w:rsidRPr="007A48E8">
        <w:rPr>
          <w:rFonts w:ascii="Arial" w:eastAsia="MS Mincho" w:hAnsi="Arial" w:cs="Arial"/>
          <w:sz w:val="32"/>
          <w:szCs w:val="32"/>
          <w:lang w:val="en-GB"/>
        </w:rPr>
        <w:t xml:space="preserve">the </w:t>
      </w:r>
      <w:r w:rsidR="00BF5E17" w:rsidRPr="007A48E8">
        <w:rPr>
          <w:rFonts w:ascii="Arial" w:eastAsia="MS Mincho" w:hAnsi="Arial" w:cs="Arial"/>
          <w:sz w:val="32"/>
          <w:szCs w:val="32"/>
          <w:lang w:val="en-GB"/>
        </w:rPr>
        <w:t xml:space="preserve">Government as resource owner and Shell as contractor to monetize </w:t>
      </w:r>
      <w:r w:rsidR="00271D42" w:rsidRPr="007A48E8">
        <w:rPr>
          <w:rFonts w:ascii="Arial" w:eastAsia="MS Mincho" w:hAnsi="Arial" w:cs="Arial"/>
          <w:sz w:val="32"/>
          <w:szCs w:val="32"/>
          <w:lang w:val="en-GB"/>
        </w:rPr>
        <w:t>what would be one of the countr</w:t>
      </w:r>
      <w:r w:rsidR="008F10CC" w:rsidRPr="007A48E8">
        <w:rPr>
          <w:rFonts w:ascii="Arial" w:eastAsia="MS Mincho" w:hAnsi="Arial" w:cs="Arial"/>
          <w:sz w:val="32"/>
          <w:szCs w:val="32"/>
          <w:lang w:val="en-GB"/>
        </w:rPr>
        <w:t>y’s</w:t>
      </w:r>
      <w:r w:rsidR="00271D42" w:rsidRPr="007A48E8">
        <w:rPr>
          <w:rFonts w:ascii="Arial" w:eastAsia="MS Mincho" w:hAnsi="Arial" w:cs="Arial"/>
          <w:sz w:val="32"/>
          <w:szCs w:val="32"/>
          <w:lang w:val="en-GB"/>
        </w:rPr>
        <w:t xml:space="preserve"> largest natural gas fields to date. </w:t>
      </w:r>
      <w:r w:rsidR="004B248C" w:rsidRPr="007A48E8">
        <w:rPr>
          <w:rFonts w:ascii="Arial" w:eastAsia="MS Mincho" w:hAnsi="Arial" w:cs="Arial"/>
          <w:sz w:val="32"/>
          <w:szCs w:val="32"/>
          <w:lang w:val="en-GB"/>
        </w:rPr>
        <w:t xml:space="preserve">In </w:t>
      </w:r>
      <w:r w:rsidR="00E17AC0" w:rsidRPr="007A48E8">
        <w:rPr>
          <w:rFonts w:ascii="Arial" w:eastAsia="MS Mincho" w:hAnsi="Arial" w:cs="Arial"/>
          <w:sz w:val="32"/>
          <w:szCs w:val="32"/>
          <w:lang w:val="en-GB"/>
        </w:rPr>
        <w:t xml:space="preserve">an </w:t>
      </w:r>
      <w:r w:rsidR="004B248C" w:rsidRPr="007A48E8">
        <w:rPr>
          <w:rFonts w:ascii="Arial" w:eastAsia="MS Mincho" w:hAnsi="Arial" w:cs="Arial"/>
          <w:sz w:val="32"/>
          <w:szCs w:val="32"/>
          <w:lang w:val="en-GB"/>
        </w:rPr>
        <w:t>Agreement</w:t>
      </w:r>
      <w:r w:rsidR="00E17AC0" w:rsidRPr="007A48E8">
        <w:rPr>
          <w:rFonts w:ascii="Arial" w:eastAsia="MS Mincho" w:hAnsi="Arial" w:cs="Arial"/>
          <w:sz w:val="32"/>
          <w:szCs w:val="32"/>
          <w:lang w:val="en-GB"/>
        </w:rPr>
        <w:t>,</w:t>
      </w:r>
      <w:r w:rsidR="00D25903" w:rsidRPr="007A48E8">
        <w:rPr>
          <w:rFonts w:ascii="Arial" w:eastAsia="MS Mincho" w:hAnsi="Arial" w:cs="Arial"/>
          <w:sz w:val="32"/>
          <w:szCs w:val="32"/>
          <w:lang w:val="en-GB"/>
        </w:rPr>
        <w:t xml:space="preserve"> dated August 19</w:t>
      </w:r>
      <w:r w:rsidR="00E17AC0" w:rsidRPr="007A48E8">
        <w:rPr>
          <w:rFonts w:ascii="Arial" w:eastAsia="MS Mincho" w:hAnsi="Arial" w:cs="Arial"/>
          <w:sz w:val="32"/>
          <w:szCs w:val="32"/>
          <w:vertAlign w:val="superscript"/>
          <w:lang w:val="en-GB"/>
        </w:rPr>
        <w:t>th</w:t>
      </w:r>
      <w:r w:rsidR="00E17AC0" w:rsidRPr="007A48E8">
        <w:rPr>
          <w:rFonts w:ascii="Arial" w:eastAsia="MS Mincho" w:hAnsi="Arial" w:cs="Arial"/>
          <w:sz w:val="32"/>
          <w:szCs w:val="32"/>
          <w:lang w:val="en-GB"/>
        </w:rPr>
        <w:t xml:space="preserve"> </w:t>
      </w:r>
      <w:r w:rsidR="00D25903" w:rsidRPr="007A48E8">
        <w:rPr>
          <w:rFonts w:ascii="Arial" w:eastAsia="MS Mincho" w:hAnsi="Arial" w:cs="Arial"/>
          <w:sz w:val="32"/>
          <w:szCs w:val="32"/>
          <w:lang w:val="en-GB"/>
        </w:rPr>
        <w:t xml:space="preserve"> 2019</w:t>
      </w:r>
      <w:r w:rsidR="00E17AC0" w:rsidRPr="007A48E8">
        <w:rPr>
          <w:rFonts w:ascii="Arial" w:eastAsia="MS Mincho" w:hAnsi="Arial" w:cs="Arial"/>
          <w:sz w:val="32"/>
          <w:szCs w:val="32"/>
          <w:lang w:val="en-GB"/>
        </w:rPr>
        <w:t xml:space="preserve">, </w:t>
      </w:r>
      <w:r w:rsidR="004B248C" w:rsidRPr="007A48E8">
        <w:rPr>
          <w:rFonts w:ascii="Arial" w:eastAsia="MS Mincho" w:hAnsi="Arial" w:cs="Arial"/>
          <w:sz w:val="32"/>
          <w:szCs w:val="32"/>
          <w:lang w:val="en-GB"/>
        </w:rPr>
        <w:t xml:space="preserve"> between Government and Shell for the extension of the term of Block </w:t>
      </w:r>
      <w:r w:rsidR="006F4CDC" w:rsidRPr="007A48E8">
        <w:rPr>
          <w:rFonts w:ascii="Arial" w:eastAsia="MS Mincho" w:hAnsi="Arial" w:cs="Arial"/>
          <w:sz w:val="32"/>
          <w:szCs w:val="32"/>
          <w:lang w:val="en-GB"/>
        </w:rPr>
        <w:t>6</w:t>
      </w:r>
      <w:r w:rsidR="00665C4A" w:rsidRPr="007A48E8">
        <w:rPr>
          <w:rFonts w:ascii="Arial" w:eastAsia="MS Mincho" w:hAnsi="Arial" w:cs="Arial"/>
          <w:sz w:val="32"/>
          <w:szCs w:val="32"/>
          <w:lang w:val="en-GB"/>
        </w:rPr>
        <w:t>,</w:t>
      </w:r>
      <w:r w:rsidR="006F4CDC" w:rsidRPr="007A48E8">
        <w:rPr>
          <w:rFonts w:ascii="Arial" w:eastAsia="MS Mincho" w:hAnsi="Arial" w:cs="Arial"/>
          <w:sz w:val="32"/>
          <w:szCs w:val="32"/>
          <w:lang w:val="en-GB"/>
        </w:rPr>
        <w:t xml:space="preserve"> </w:t>
      </w:r>
      <w:r w:rsidR="004B248C" w:rsidRPr="007A48E8">
        <w:rPr>
          <w:rFonts w:ascii="Arial" w:eastAsia="MS Mincho" w:hAnsi="Arial" w:cs="Arial"/>
          <w:sz w:val="32"/>
          <w:szCs w:val="32"/>
          <w:lang w:val="en-GB"/>
        </w:rPr>
        <w:t xml:space="preserve">it was agreed that </w:t>
      </w:r>
      <w:r w:rsidR="00462D44" w:rsidRPr="007A48E8">
        <w:rPr>
          <w:rFonts w:ascii="Arial" w:eastAsia="MS Mincho" w:hAnsi="Arial" w:cs="Arial"/>
          <w:sz w:val="32"/>
          <w:szCs w:val="32"/>
          <w:lang w:val="en-GB"/>
        </w:rPr>
        <w:t>separate</w:t>
      </w:r>
      <w:r w:rsidR="006F4CDC" w:rsidRPr="007A48E8">
        <w:rPr>
          <w:rFonts w:ascii="Arial" w:eastAsia="MS Mincho" w:hAnsi="Arial" w:cs="Arial"/>
          <w:sz w:val="32"/>
          <w:szCs w:val="32"/>
          <w:lang w:val="en-GB"/>
        </w:rPr>
        <w:t xml:space="preserve"> terms would apply </w:t>
      </w:r>
      <w:r w:rsidR="00462D44" w:rsidRPr="007A48E8">
        <w:rPr>
          <w:rFonts w:ascii="Arial" w:hAnsi="Arial" w:cs="Arial"/>
          <w:sz w:val="32"/>
          <w:szCs w:val="32"/>
        </w:rPr>
        <w:t xml:space="preserve">for any Petroleum Production derived from the commercial development of any field(s) in the sub-block 6d (Manatee) portion of the </w:t>
      </w:r>
      <w:r w:rsidR="00462D44" w:rsidRPr="007A48E8">
        <w:rPr>
          <w:rFonts w:ascii="Arial" w:hAnsi="Arial" w:cs="Arial"/>
          <w:sz w:val="32"/>
          <w:szCs w:val="32"/>
        </w:rPr>
        <w:lastRenderedPageBreak/>
        <w:t xml:space="preserve">Contract Area, subject to mutual agreement of the Parties. Pursuant to the terms of the </w:t>
      </w:r>
      <w:r w:rsidR="005A0087" w:rsidRPr="007A48E8">
        <w:rPr>
          <w:rFonts w:ascii="Arial" w:hAnsi="Arial" w:cs="Arial"/>
          <w:sz w:val="32"/>
          <w:szCs w:val="32"/>
        </w:rPr>
        <w:t>A</w:t>
      </w:r>
      <w:r w:rsidR="00462D44" w:rsidRPr="007A48E8">
        <w:rPr>
          <w:rFonts w:ascii="Arial" w:hAnsi="Arial" w:cs="Arial"/>
          <w:sz w:val="32"/>
          <w:szCs w:val="32"/>
        </w:rPr>
        <w:t>greement</w:t>
      </w:r>
      <w:r w:rsidR="00665C4A" w:rsidRPr="007A48E8">
        <w:rPr>
          <w:rFonts w:ascii="Arial" w:hAnsi="Arial" w:cs="Arial"/>
          <w:sz w:val="32"/>
          <w:szCs w:val="32"/>
        </w:rPr>
        <w:t>,</w:t>
      </w:r>
      <w:r w:rsidR="00462D44" w:rsidRPr="007A48E8">
        <w:rPr>
          <w:rFonts w:ascii="Arial" w:hAnsi="Arial" w:cs="Arial"/>
          <w:sz w:val="32"/>
          <w:szCs w:val="32"/>
        </w:rPr>
        <w:t xml:space="preserve"> Shell </w:t>
      </w:r>
      <w:r w:rsidR="00E17AC0" w:rsidRPr="007A48E8">
        <w:rPr>
          <w:rFonts w:ascii="Arial" w:hAnsi="Arial" w:cs="Arial"/>
          <w:sz w:val="32"/>
          <w:szCs w:val="32"/>
        </w:rPr>
        <w:t xml:space="preserve">was encouraged and </w:t>
      </w:r>
      <w:r w:rsidR="00462D44" w:rsidRPr="007A48E8">
        <w:rPr>
          <w:rFonts w:ascii="Arial" w:hAnsi="Arial" w:cs="Arial"/>
          <w:sz w:val="32"/>
          <w:szCs w:val="32"/>
        </w:rPr>
        <w:t>requested the opportunity to initiate negotiations to continue its appraisal and pre-sanction activities</w:t>
      </w:r>
      <w:r w:rsidR="00665C4A" w:rsidRPr="007A48E8">
        <w:rPr>
          <w:rFonts w:ascii="Arial" w:hAnsi="Arial" w:cs="Arial"/>
          <w:sz w:val="32"/>
          <w:szCs w:val="32"/>
        </w:rPr>
        <w:t xml:space="preserve"> which were </w:t>
      </w:r>
      <w:r w:rsidR="00462D44" w:rsidRPr="007A48E8">
        <w:rPr>
          <w:rFonts w:ascii="Arial" w:hAnsi="Arial" w:cs="Arial"/>
          <w:sz w:val="32"/>
          <w:szCs w:val="32"/>
        </w:rPr>
        <w:t xml:space="preserve">necessary to progress the commercial development </w:t>
      </w:r>
      <w:r w:rsidR="007A48E8" w:rsidRPr="007A48E8">
        <w:rPr>
          <w:rFonts w:ascii="Arial" w:hAnsi="Arial" w:cs="Arial"/>
          <w:sz w:val="32"/>
          <w:szCs w:val="32"/>
        </w:rPr>
        <w:t>of the</w:t>
      </w:r>
      <w:r w:rsidR="00462D44" w:rsidRPr="007A48E8">
        <w:rPr>
          <w:rFonts w:ascii="Arial" w:hAnsi="Arial" w:cs="Arial"/>
          <w:sz w:val="32"/>
          <w:szCs w:val="32"/>
        </w:rPr>
        <w:t xml:space="preserve"> sub-block 6d (Manatee) portion of Block 6.</w:t>
      </w:r>
      <w:r w:rsidR="002D390F" w:rsidRPr="007A48E8">
        <w:rPr>
          <w:rFonts w:ascii="Arial" w:hAnsi="Arial" w:cs="Arial"/>
          <w:sz w:val="32"/>
          <w:szCs w:val="32"/>
        </w:rPr>
        <w:t xml:space="preserve"> This request was positively received by the Ministry of Energy and Energy Industries</w:t>
      </w:r>
      <w:r w:rsidR="00665C4A" w:rsidRPr="007A48E8">
        <w:rPr>
          <w:rFonts w:ascii="Arial" w:hAnsi="Arial" w:cs="Arial"/>
          <w:sz w:val="32"/>
          <w:szCs w:val="32"/>
        </w:rPr>
        <w:t>,</w:t>
      </w:r>
      <w:r w:rsidR="002D390F" w:rsidRPr="007A48E8">
        <w:rPr>
          <w:rFonts w:ascii="Arial" w:hAnsi="Arial" w:cs="Arial"/>
          <w:sz w:val="32"/>
          <w:szCs w:val="32"/>
        </w:rPr>
        <w:t xml:space="preserve"> acting on behalf of the Government.</w:t>
      </w:r>
    </w:p>
    <w:p w:rsidR="002D390F" w:rsidRPr="007A48E8" w:rsidRDefault="002D390F" w:rsidP="00E53DA5">
      <w:pPr>
        <w:tabs>
          <w:tab w:val="left" w:pos="720"/>
          <w:tab w:val="left" w:pos="1440"/>
        </w:tabs>
        <w:adjustRightInd w:val="0"/>
        <w:spacing w:after="240" w:line="360" w:lineRule="auto"/>
        <w:jc w:val="both"/>
        <w:rPr>
          <w:rFonts w:ascii="Arial" w:eastAsia="MS Mincho" w:hAnsi="Arial" w:cs="Arial"/>
          <w:sz w:val="32"/>
          <w:szCs w:val="32"/>
          <w:lang w:val="en-GB"/>
        </w:rPr>
      </w:pPr>
      <w:r w:rsidRPr="007A48E8">
        <w:rPr>
          <w:rFonts w:ascii="Arial" w:eastAsia="MS Mincho" w:hAnsi="Arial" w:cs="Arial"/>
          <w:sz w:val="32"/>
          <w:szCs w:val="32"/>
          <w:lang w:val="en-GB"/>
        </w:rPr>
        <w:t xml:space="preserve">Today’s event is the culmination of the negotiations between the Ministry and Shell </w:t>
      </w:r>
      <w:r w:rsidR="007A48E8" w:rsidRPr="007A48E8">
        <w:rPr>
          <w:rFonts w:ascii="Arial" w:eastAsia="MS Mincho" w:hAnsi="Arial" w:cs="Arial"/>
          <w:sz w:val="32"/>
          <w:szCs w:val="32"/>
          <w:lang w:val="en-GB"/>
        </w:rPr>
        <w:t>and the</w:t>
      </w:r>
      <w:r w:rsidR="00665C4A" w:rsidRPr="007A48E8">
        <w:rPr>
          <w:rFonts w:ascii="Arial" w:eastAsia="MS Mincho" w:hAnsi="Arial" w:cs="Arial"/>
          <w:sz w:val="32"/>
          <w:szCs w:val="32"/>
          <w:lang w:val="en-GB"/>
        </w:rPr>
        <w:t xml:space="preserve"> subsequent </w:t>
      </w:r>
      <w:r w:rsidR="007A48E8" w:rsidRPr="007A48E8">
        <w:rPr>
          <w:rFonts w:ascii="Arial" w:eastAsia="MS Mincho" w:hAnsi="Arial" w:cs="Arial"/>
          <w:sz w:val="32"/>
          <w:szCs w:val="32"/>
          <w:lang w:val="en-GB"/>
        </w:rPr>
        <w:t>approval by</w:t>
      </w:r>
      <w:r w:rsidRPr="007A48E8">
        <w:rPr>
          <w:rFonts w:ascii="Arial" w:eastAsia="MS Mincho" w:hAnsi="Arial" w:cs="Arial"/>
          <w:sz w:val="32"/>
          <w:szCs w:val="32"/>
          <w:lang w:val="en-GB"/>
        </w:rPr>
        <w:t xml:space="preserve"> Government.</w:t>
      </w:r>
      <w:r w:rsidR="00EE13CA" w:rsidRPr="007A48E8">
        <w:rPr>
          <w:rFonts w:ascii="Arial" w:eastAsia="MS Mincho" w:hAnsi="Arial" w:cs="Arial"/>
          <w:sz w:val="32"/>
          <w:szCs w:val="32"/>
          <w:lang w:val="en-GB"/>
        </w:rPr>
        <w:t xml:space="preserve"> </w:t>
      </w:r>
      <w:r w:rsidR="006F2083" w:rsidRPr="007A48E8">
        <w:rPr>
          <w:rFonts w:ascii="Arial" w:eastAsia="MS Mincho" w:hAnsi="Arial" w:cs="Arial"/>
          <w:sz w:val="32"/>
          <w:szCs w:val="32"/>
          <w:lang w:val="en-GB"/>
        </w:rPr>
        <w:t>It signifies</w:t>
      </w:r>
      <w:r w:rsidR="00665C4A" w:rsidRPr="007A48E8">
        <w:rPr>
          <w:rFonts w:ascii="Arial" w:eastAsia="MS Mincho" w:hAnsi="Arial" w:cs="Arial"/>
          <w:sz w:val="32"/>
          <w:szCs w:val="32"/>
          <w:lang w:val="en-GB"/>
        </w:rPr>
        <w:t xml:space="preserve"> this </w:t>
      </w:r>
      <w:r w:rsidR="007A48E8" w:rsidRPr="007A48E8">
        <w:rPr>
          <w:rFonts w:ascii="Arial" w:eastAsia="MS Mincho" w:hAnsi="Arial" w:cs="Arial"/>
          <w:sz w:val="32"/>
          <w:szCs w:val="32"/>
          <w:lang w:val="en-GB"/>
        </w:rPr>
        <w:t>Government’s ongoing</w:t>
      </w:r>
      <w:r w:rsidR="006F2083" w:rsidRPr="007A48E8">
        <w:rPr>
          <w:rFonts w:ascii="Arial" w:eastAsia="MS Mincho" w:hAnsi="Arial" w:cs="Arial"/>
          <w:sz w:val="32"/>
          <w:szCs w:val="32"/>
          <w:lang w:val="en-GB"/>
        </w:rPr>
        <w:t xml:space="preserve"> commitment and action to meet domestic natural gas requirements and our resourcefulness in overcoming obstacles. </w:t>
      </w:r>
      <w:r w:rsidR="00D369C5" w:rsidRPr="007A48E8">
        <w:rPr>
          <w:rFonts w:ascii="Arial" w:eastAsia="MS Mincho" w:hAnsi="Arial" w:cs="Arial"/>
          <w:sz w:val="32"/>
          <w:szCs w:val="32"/>
          <w:lang w:val="en-GB"/>
        </w:rPr>
        <w:t xml:space="preserve">The </w:t>
      </w:r>
      <w:r w:rsidR="00553AB7" w:rsidRPr="007A48E8">
        <w:rPr>
          <w:rFonts w:ascii="Arial" w:eastAsia="MS Mincho" w:hAnsi="Arial" w:cs="Arial"/>
          <w:sz w:val="32"/>
          <w:szCs w:val="32"/>
          <w:lang w:val="en-GB"/>
        </w:rPr>
        <w:t>Production Sharing Contract for sub-block 6d (Manatee) is for a period of 25 years. Preliminary estimates indicate that natural gas production could start as early as 2025</w:t>
      </w:r>
      <w:r w:rsidR="00665C4A" w:rsidRPr="007A48E8">
        <w:rPr>
          <w:rFonts w:ascii="Arial" w:eastAsia="MS Mincho" w:hAnsi="Arial" w:cs="Arial"/>
          <w:sz w:val="32"/>
          <w:szCs w:val="32"/>
          <w:lang w:val="en-GB"/>
        </w:rPr>
        <w:t>,</w:t>
      </w:r>
      <w:r w:rsidR="00553AB7" w:rsidRPr="007A48E8">
        <w:rPr>
          <w:rFonts w:ascii="Arial" w:eastAsia="MS Mincho" w:hAnsi="Arial" w:cs="Arial"/>
          <w:sz w:val="32"/>
          <w:szCs w:val="32"/>
          <w:lang w:val="en-GB"/>
        </w:rPr>
        <w:t xml:space="preserve"> with an initial production </w:t>
      </w:r>
      <w:r w:rsidR="007A48E8" w:rsidRPr="007A48E8">
        <w:rPr>
          <w:rFonts w:ascii="Arial" w:eastAsia="MS Mincho" w:hAnsi="Arial" w:cs="Arial"/>
          <w:sz w:val="32"/>
          <w:szCs w:val="32"/>
          <w:lang w:val="en-GB"/>
        </w:rPr>
        <w:t>of up</w:t>
      </w:r>
      <w:r w:rsidR="00693D80" w:rsidRPr="007A48E8">
        <w:rPr>
          <w:rFonts w:ascii="Arial" w:eastAsia="MS Mincho" w:hAnsi="Arial" w:cs="Arial"/>
          <w:sz w:val="32"/>
          <w:szCs w:val="32"/>
          <w:lang w:val="en-GB"/>
        </w:rPr>
        <w:t xml:space="preserve"> to</w:t>
      </w:r>
      <w:r w:rsidR="00553AB7" w:rsidRPr="007A48E8">
        <w:rPr>
          <w:rFonts w:ascii="Arial" w:eastAsia="MS Mincho" w:hAnsi="Arial" w:cs="Arial"/>
          <w:sz w:val="32"/>
          <w:szCs w:val="32"/>
          <w:lang w:val="en-GB"/>
        </w:rPr>
        <w:t xml:space="preserve"> 3</w:t>
      </w:r>
      <w:r w:rsidR="00693D80" w:rsidRPr="007A48E8">
        <w:rPr>
          <w:rFonts w:ascii="Arial" w:eastAsia="MS Mincho" w:hAnsi="Arial" w:cs="Arial"/>
          <w:sz w:val="32"/>
          <w:szCs w:val="32"/>
          <w:lang w:val="en-GB"/>
        </w:rPr>
        <w:t>50</w:t>
      </w:r>
      <w:r w:rsidR="00553AB7" w:rsidRPr="007A48E8">
        <w:rPr>
          <w:rFonts w:ascii="Arial" w:eastAsia="MS Mincho" w:hAnsi="Arial" w:cs="Arial"/>
          <w:sz w:val="32"/>
          <w:szCs w:val="32"/>
          <w:lang w:val="en-GB"/>
        </w:rPr>
        <w:t xml:space="preserve"> m</w:t>
      </w:r>
      <w:r w:rsidR="00EE13CA" w:rsidRPr="007A48E8">
        <w:rPr>
          <w:rFonts w:ascii="Arial" w:eastAsia="MS Mincho" w:hAnsi="Arial" w:cs="Arial"/>
          <w:sz w:val="32"/>
          <w:szCs w:val="32"/>
          <w:lang w:val="en-GB"/>
        </w:rPr>
        <w:t>m</w:t>
      </w:r>
      <w:r w:rsidR="00553AB7" w:rsidRPr="007A48E8">
        <w:rPr>
          <w:rFonts w:ascii="Arial" w:eastAsia="MS Mincho" w:hAnsi="Arial" w:cs="Arial"/>
          <w:sz w:val="32"/>
          <w:szCs w:val="32"/>
          <w:lang w:val="en-GB"/>
        </w:rPr>
        <w:t>scf per day</w:t>
      </w:r>
      <w:r w:rsidR="00665C4A" w:rsidRPr="007A48E8">
        <w:rPr>
          <w:rFonts w:ascii="Arial" w:eastAsia="MS Mincho" w:hAnsi="Arial" w:cs="Arial"/>
          <w:sz w:val="32"/>
          <w:szCs w:val="32"/>
          <w:lang w:val="en-GB"/>
        </w:rPr>
        <w:t>,</w:t>
      </w:r>
      <w:r w:rsidR="00553AB7" w:rsidRPr="007A48E8">
        <w:rPr>
          <w:rFonts w:ascii="Arial" w:eastAsia="MS Mincho" w:hAnsi="Arial" w:cs="Arial"/>
          <w:sz w:val="32"/>
          <w:szCs w:val="32"/>
          <w:lang w:val="en-GB"/>
        </w:rPr>
        <w:t xml:space="preserve"> before ramping up to </w:t>
      </w:r>
      <w:r w:rsidR="00693D80" w:rsidRPr="007A48E8">
        <w:rPr>
          <w:rFonts w:ascii="Arial" w:eastAsia="MS Mincho" w:hAnsi="Arial" w:cs="Arial"/>
          <w:sz w:val="32"/>
          <w:szCs w:val="32"/>
          <w:lang w:val="en-GB"/>
        </w:rPr>
        <w:t>as much as</w:t>
      </w:r>
      <w:r w:rsidR="00553AB7" w:rsidRPr="007A48E8">
        <w:rPr>
          <w:rFonts w:ascii="Arial" w:eastAsia="MS Mincho" w:hAnsi="Arial" w:cs="Arial"/>
          <w:sz w:val="32"/>
          <w:szCs w:val="32"/>
          <w:lang w:val="en-GB"/>
        </w:rPr>
        <w:t xml:space="preserve"> </w:t>
      </w:r>
      <w:r w:rsidR="00693D80" w:rsidRPr="007A48E8">
        <w:rPr>
          <w:rFonts w:ascii="Arial" w:eastAsia="MS Mincho" w:hAnsi="Arial" w:cs="Arial"/>
          <w:sz w:val="32"/>
          <w:szCs w:val="32"/>
          <w:lang w:val="en-GB"/>
        </w:rPr>
        <w:t>7</w:t>
      </w:r>
      <w:r w:rsidR="00553AB7" w:rsidRPr="007A48E8">
        <w:rPr>
          <w:rFonts w:ascii="Arial" w:eastAsia="MS Mincho" w:hAnsi="Arial" w:cs="Arial"/>
          <w:sz w:val="32"/>
          <w:szCs w:val="32"/>
          <w:lang w:val="en-GB"/>
        </w:rPr>
        <w:t>00 mmscf per day.</w:t>
      </w:r>
      <w:r w:rsidR="00EE13CA" w:rsidRPr="007A48E8">
        <w:rPr>
          <w:rFonts w:ascii="Arial" w:eastAsia="MS Mincho" w:hAnsi="Arial" w:cs="Arial"/>
          <w:sz w:val="32"/>
          <w:szCs w:val="32"/>
          <w:lang w:val="en-GB"/>
        </w:rPr>
        <w:t xml:space="preserve"> In considering our current proven reserves of natural gas and the size of the </w:t>
      </w:r>
      <w:r w:rsidR="007A48E8" w:rsidRPr="007A48E8">
        <w:rPr>
          <w:rFonts w:ascii="Arial" w:eastAsia="MS Mincho" w:hAnsi="Arial" w:cs="Arial"/>
          <w:sz w:val="32"/>
          <w:szCs w:val="32"/>
          <w:lang w:val="en-GB"/>
        </w:rPr>
        <w:t>many discoveries</w:t>
      </w:r>
      <w:r w:rsidR="00AD3CE1" w:rsidRPr="007A48E8">
        <w:rPr>
          <w:rFonts w:ascii="Arial" w:eastAsia="MS Mincho" w:hAnsi="Arial" w:cs="Arial"/>
          <w:sz w:val="32"/>
          <w:szCs w:val="32"/>
          <w:lang w:val="en-GB"/>
        </w:rPr>
        <w:t xml:space="preserve"> </w:t>
      </w:r>
      <w:r w:rsidR="00EE13CA" w:rsidRPr="007A48E8">
        <w:rPr>
          <w:rFonts w:ascii="Arial" w:eastAsia="MS Mincho" w:hAnsi="Arial" w:cs="Arial"/>
          <w:sz w:val="32"/>
          <w:szCs w:val="32"/>
          <w:lang w:val="en-GB"/>
        </w:rPr>
        <w:t>of new fields the signi</w:t>
      </w:r>
      <w:r w:rsidR="00B82B7F" w:rsidRPr="007A48E8">
        <w:rPr>
          <w:rFonts w:ascii="Arial" w:eastAsia="MS Mincho" w:hAnsi="Arial" w:cs="Arial"/>
          <w:sz w:val="32"/>
          <w:szCs w:val="32"/>
          <w:lang w:val="en-GB"/>
        </w:rPr>
        <w:t>ficance of this development will be fully appreciated in Trinidad and Tobago.</w:t>
      </w:r>
    </w:p>
    <w:p w:rsidR="00056D36" w:rsidRPr="007A48E8" w:rsidRDefault="00F541AC" w:rsidP="00E53DA5">
      <w:pPr>
        <w:tabs>
          <w:tab w:val="left" w:pos="720"/>
          <w:tab w:val="left" w:pos="1440"/>
        </w:tabs>
        <w:adjustRightInd w:val="0"/>
        <w:spacing w:after="240" w:line="360" w:lineRule="auto"/>
        <w:jc w:val="both"/>
        <w:rPr>
          <w:rFonts w:ascii="Arial" w:eastAsia="MS Mincho" w:hAnsi="Arial" w:cs="Arial"/>
          <w:sz w:val="32"/>
          <w:szCs w:val="32"/>
          <w:lang w:val="en-GB"/>
        </w:rPr>
      </w:pPr>
      <w:r w:rsidRPr="007A48E8">
        <w:rPr>
          <w:rFonts w:ascii="Arial" w:eastAsia="MS Mincho" w:hAnsi="Arial" w:cs="Arial"/>
          <w:sz w:val="32"/>
          <w:szCs w:val="32"/>
          <w:lang w:val="en-GB"/>
        </w:rPr>
        <w:t>However</w:t>
      </w:r>
      <w:r w:rsidR="00665C4A" w:rsidRPr="007A48E8">
        <w:rPr>
          <w:rFonts w:ascii="Arial" w:eastAsia="MS Mincho" w:hAnsi="Arial" w:cs="Arial"/>
          <w:sz w:val="32"/>
          <w:szCs w:val="32"/>
          <w:lang w:val="en-GB"/>
        </w:rPr>
        <w:t>,</w:t>
      </w:r>
      <w:r w:rsidRPr="007A48E8">
        <w:rPr>
          <w:rFonts w:ascii="Arial" w:eastAsia="MS Mincho" w:hAnsi="Arial" w:cs="Arial"/>
          <w:sz w:val="32"/>
          <w:szCs w:val="32"/>
          <w:lang w:val="en-GB"/>
        </w:rPr>
        <w:t xml:space="preserve"> we do not have to wait until 2025 before we see the financial benefits accruing from the PSC. A suite of annual </w:t>
      </w:r>
      <w:r w:rsidR="007A48E8" w:rsidRPr="007A48E8">
        <w:rPr>
          <w:rFonts w:ascii="Arial" w:eastAsia="MS Mincho" w:hAnsi="Arial" w:cs="Arial"/>
          <w:sz w:val="32"/>
          <w:szCs w:val="32"/>
          <w:lang w:val="en-GB"/>
        </w:rPr>
        <w:lastRenderedPageBreak/>
        <w:t>charges are</w:t>
      </w:r>
      <w:r w:rsidRPr="007A48E8">
        <w:rPr>
          <w:rFonts w:ascii="Arial" w:eastAsia="MS Mincho" w:hAnsi="Arial" w:cs="Arial"/>
          <w:sz w:val="32"/>
          <w:szCs w:val="32"/>
          <w:lang w:val="en-GB"/>
        </w:rPr>
        <w:t xml:space="preserve"> payable within ten days of the effective date of the contract and thereafter within the first ten days of the contract year.  These include an administrative charge of </w:t>
      </w:r>
      <w:r w:rsidR="00813567" w:rsidRPr="007A48E8">
        <w:rPr>
          <w:rFonts w:ascii="Arial" w:eastAsia="MS Mincho" w:hAnsi="Arial" w:cs="Arial"/>
          <w:sz w:val="32"/>
          <w:szCs w:val="32"/>
          <w:lang w:val="en-GB"/>
        </w:rPr>
        <w:t>US$300,000 increasing at 4% per annum,</w:t>
      </w:r>
      <w:r w:rsidR="00380C1E" w:rsidRPr="007A48E8">
        <w:rPr>
          <w:rFonts w:ascii="Arial" w:eastAsia="MS Mincho" w:hAnsi="Arial" w:cs="Arial"/>
          <w:sz w:val="32"/>
          <w:szCs w:val="32"/>
          <w:lang w:val="en-GB"/>
        </w:rPr>
        <w:t xml:space="preserve"> </w:t>
      </w:r>
      <w:r w:rsidR="00813567" w:rsidRPr="007A48E8">
        <w:rPr>
          <w:rFonts w:ascii="Arial" w:eastAsia="MS Mincho" w:hAnsi="Arial" w:cs="Arial"/>
          <w:sz w:val="32"/>
          <w:szCs w:val="32"/>
          <w:lang w:val="en-GB"/>
        </w:rPr>
        <w:t>training and research</w:t>
      </w:r>
      <w:r w:rsidR="006C67FE" w:rsidRPr="007A48E8">
        <w:rPr>
          <w:rFonts w:ascii="Arial" w:eastAsia="MS Mincho" w:hAnsi="Arial" w:cs="Arial"/>
          <w:sz w:val="32"/>
          <w:szCs w:val="32"/>
          <w:lang w:val="en-GB"/>
        </w:rPr>
        <w:t>,</w:t>
      </w:r>
      <w:r w:rsidR="00813567" w:rsidRPr="007A48E8">
        <w:rPr>
          <w:rFonts w:ascii="Arial" w:eastAsia="MS Mincho" w:hAnsi="Arial" w:cs="Arial"/>
          <w:sz w:val="32"/>
          <w:szCs w:val="32"/>
          <w:lang w:val="en-GB"/>
        </w:rPr>
        <w:t xml:space="preserve"> and development contributions of </w:t>
      </w:r>
      <w:r w:rsidR="005A0087" w:rsidRPr="007A48E8">
        <w:rPr>
          <w:rFonts w:ascii="Arial" w:eastAsia="MS Mincho" w:hAnsi="Arial" w:cs="Arial"/>
          <w:sz w:val="32"/>
          <w:szCs w:val="32"/>
          <w:lang w:val="en-GB"/>
        </w:rPr>
        <w:t>US$</w:t>
      </w:r>
      <w:r w:rsidR="00813567" w:rsidRPr="007A48E8">
        <w:rPr>
          <w:rFonts w:ascii="Arial" w:eastAsia="MS Mincho" w:hAnsi="Arial" w:cs="Arial"/>
          <w:sz w:val="32"/>
          <w:szCs w:val="32"/>
          <w:lang w:val="en-GB"/>
        </w:rPr>
        <w:t xml:space="preserve">150,000 </w:t>
      </w:r>
      <w:r w:rsidR="00992D8A" w:rsidRPr="007A48E8">
        <w:rPr>
          <w:rFonts w:ascii="Arial" w:eastAsia="MS Mincho" w:hAnsi="Arial" w:cs="Arial"/>
          <w:sz w:val="32"/>
          <w:szCs w:val="32"/>
          <w:lang w:val="en-GB"/>
        </w:rPr>
        <w:t xml:space="preserve">per annum </w:t>
      </w:r>
      <w:r w:rsidR="00813567" w:rsidRPr="007A48E8">
        <w:rPr>
          <w:rFonts w:ascii="Arial" w:eastAsia="MS Mincho" w:hAnsi="Arial" w:cs="Arial"/>
          <w:sz w:val="32"/>
          <w:szCs w:val="32"/>
          <w:lang w:val="en-GB"/>
        </w:rPr>
        <w:t>increasing at 6% annually until the start of production</w:t>
      </w:r>
      <w:r w:rsidR="00665C4A" w:rsidRPr="007A48E8">
        <w:rPr>
          <w:rFonts w:ascii="Arial" w:eastAsia="MS Mincho" w:hAnsi="Arial" w:cs="Arial"/>
          <w:sz w:val="32"/>
          <w:szCs w:val="32"/>
          <w:lang w:val="en-GB"/>
        </w:rPr>
        <w:t>,</w:t>
      </w:r>
      <w:r w:rsidR="00E17BF9" w:rsidRPr="007A48E8">
        <w:rPr>
          <w:rFonts w:ascii="Arial" w:eastAsia="MS Mincho" w:hAnsi="Arial" w:cs="Arial"/>
          <w:sz w:val="32"/>
          <w:szCs w:val="32"/>
          <w:lang w:val="en-GB"/>
        </w:rPr>
        <w:t xml:space="preserve"> when contribution</w:t>
      </w:r>
      <w:r w:rsidR="00551A6E" w:rsidRPr="007A48E8">
        <w:rPr>
          <w:rFonts w:ascii="Arial" w:eastAsia="MS Mincho" w:hAnsi="Arial" w:cs="Arial"/>
          <w:sz w:val="32"/>
          <w:szCs w:val="32"/>
          <w:lang w:val="en-GB"/>
        </w:rPr>
        <w:t>s</w:t>
      </w:r>
      <w:r w:rsidR="00E17BF9" w:rsidRPr="007A48E8">
        <w:rPr>
          <w:rFonts w:ascii="Arial" w:eastAsia="MS Mincho" w:hAnsi="Arial" w:cs="Arial"/>
          <w:sz w:val="32"/>
          <w:szCs w:val="32"/>
          <w:lang w:val="en-GB"/>
        </w:rPr>
        <w:t xml:space="preserve"> will equal 0.25% of</w:t>
      </w:r>
      <w:r w:rsidR="003B0931" w:rsidRPr="007A48E8">
        <w:rPr>
          <w:rFonts w:ascii="Arial" w:eastAsia="MS Mincho" w:hAnsi="Arial" w:cs="Arial"/>
          <w:sz w:val="32"/>
          <w:szCs w:val="32"/>
          <w:lang w:val="en-GB"/>
        </w:rPr>
        <w:t xml:space="preserve"> the value of the </w:t>
      </w:r>
      <w:r w:rsidR="00E17BF9" w:rsidRPr="007A48E8">
        <w:rPr>
          <w:rFonts w:ascii="Arial" w:eastAsia="MS Mincho" w:hAnsi="Arial" w:cs="Arial"/>
          <w:sz w:val="32"/>
          <w:szCs w:val="32"/>
          <w:lang w:val="en-GB"/>
        </w:rPr>
        <w:t>contractor</w:t>
      </w:r>
      <w:r w:rsidR="00485333" w:rsidRPr="007A48E8">
        <w:rPr>
          <w:rFonts w:ascii="Arial" w:eastAsia="MS Mincho" w:hAnsi="Arial" w:cs="Arial"/>
          <w:sz w:val="32"/>
          <w:szCs w:val="32"/>
          <w:lang w:val="en-GB"/>
        </w:rPr>
        <w:t>’s</w:t>
      </w:r>
      <w:r w:rsidR="00E17BF9" w:rsidRPr="007A48E8">
        <w:rPr>
          <w:rFonts w:ascii="Arial" w:eastAsia="MS Mincho" w:hAnsi="Arial" w:cs="Arial"/>
          <w:sz w:val="32"/>
          <w:szCs w:val="32"/>
          <w:lang w:val="en-GB"/>
        </w:rPr>
        <w:t xml:space="preserve"> </w:t>
      </w:r>
      <w:r w:rsidR="004A3B74" w:rsidRPr="007A48E8">
        <w:rPr>
          <w:rFonts w:ascii="Arial" w:eastAsia="MS Mincho" w:hAnsi="Arial" w:cs="Arial"/>
          <w:sz w:val="32"/>
          <w:szCs w:val="32"/>
          <w:lang w:val="en-GB"/>
        </w:rPr>
        <w:t xml:space="preserve">share of </w:t>
      </w:r>
      <w:r w:rsidR="00E17BF9" w:rsidRPr="007A48E8">
        <w:rPr>
          <w:rFonts w:ascii="Arial" w:eastAsia="MS Mincho" w:hAnsi="Arial" w:cs="Arial"/>
          <w:sz w:val="32"/>
          <w:szCs w:val="32"/>
          <w:lang w:val="en-GB"/>
        </w:rPr>
        <w:t>profit petroleum.</w:t>
      </w:r>
      <w:r w:rsidR="006C7DD5" w:rsidRPr="007A48E8">
        <w:rPr>
          <w:rFonts w:ascii="Arial" w:eastAsia="MS Mincho" w:hAnsi="Arial" w:cs="Arial"/>
          <w:sz w:val="32"/>
          <w:szCs w:val="32"/>
          <w:lang w:val="en-GB"/>
        </w:rPr>
        <w:t xml:space="preserve"> There are also a one</w:t>
      </w:r>
      <w:r w:rsidR="00551A6E" w:rsidRPr="007A48E8">
        <w:rPr>
          <w:rFonts w:ascii="Arial" w:eastAsia="MS Mincho" w:hAnsi="Arial" w:cs="Arial"/>
          <w:sz w:val="32"/>
          <w:szCs w:val="32"/>
          <w:lang w:val="en-GB"/>
        </w:rPr>
        <w:t>-</w:t>
      </w:r>
      <w:r w:rsidR="006C7DD5" w:rsidRPr="007A48E8">
        <w:rPr>
          <w:rFonts w:ascii="Arial" w:eastAsia="MS Mincho" w:hAnsi="Arial" w:cs="Arial"/>
          <w:sz w:val="32"/>
          <w:szCs w:val="32"/>
          <w:lang w:val="en-GB"/>
        </w:rPr>
        <w:t xml:space="preserve">time technical bonus of US$200,000 to the Ministry, an annual scholarship contribution of US$100,000 </w:t>
      </w:r>
      <w:r w:rsidR="00992D8A" w:rsidRPr="007A48E8">
        <w:rPr>
          <w:rFonts w:ascii="Arial" w:eastAsia="MS Mincho" w:hAnsi="Arial" w:cs="Arial"/>
          <w:sz w:val="32"/>
          <w:szCs w:val="32"/>
          <w:lang w:val="en-GB"/>
        </w:rPr>
        <w:t xml:space="preserve">per annum </w:t>
      </w:r>
      <w:r w:rsidR="006C7DD5" w:rsidRPr="007A48E8">
        <w:rPr>
          <w:rFonts w:ascii="Arial" w:eastAsia="MS Mincho" w:hAnsi="Arial" w:cs="Arial"/>
          <w:sz w:val="32"/>
          <w:szCs w:val="32"/>
          <w:lang w:val="en-GB"/>
        </w:rPr>
        <w:t xml:space="preserve">increasing at 6% per annum and </w:t>
      </w:r>
      <w:r w:rsidR="00551A6E" w:rsidRPr="007A48E8">
        <w:rPr>
          <w:rFonts w:ascii="Arial" w:eastAsia="MS Mincho" w:hAnsi="Arial" w:cs="Arial"/>
          <w:sz w:val="32"/>
          <w:szCs w:val="32"/>
          <w:lang w:val="en-GB"/>
        </w:rPr>
        <w:t xml:space="preserve">a </w:t>
      </w:r>
      <w:r w:rsidR="006C7DD5" w:rsidRPr="007A48E8">
        <w:rPr>
          <w:rFonts w:ascii="Arial" w:eastAsia="MS Mincho" w:hAnsi="Arial" w:cs="Arial"/>
          <w:sz w:val="32"/>
          <w:szCs w:val="32"/>
          <w:lang w:val="en-GB"/>
        </w:rPr>
        <w:t>signature bonus of US$15 million.</w:t>
      </w:r>
    </w:p>
    <w:p w:rsidR="003C589A" w:rsidRPr="007A48E8" w:rsidRDefault="003C589A" w:rsidP="00E53DA5">
      <w:pPr>
        <w:tabs>
          <w:tab w:val="left" w:pos="720"/>
          <w:tab w:val="left" w:pos="1440"/>
        </w:tabs>
        <w:adjustRightInd w:val="0"/>
        <w:spacing w:after="240" w:line="360" w:lineRule="auto"/>
        <w:jc w:val="both"/>
        <w:rPr>
          <w:rFonts w:ascii="Arial" w:eastAsia="MS Mincho" w:hAnsi="Arial" w:cs="Arial"/>
          <w:sz w:val="32"/>
          <w:szCs w:val="32"/>
          <w:lang w:val="en-GB"/>
        </w:rPr>
      </w:pPr>
      <w:r w:rsidRPr="007A48E8">
        <w:rPr>
          <w:rFonts w:ascii="Arial" w:eastAsia="MS Mincho" w:hAnsi="Arial" w:cs="Arial"/>
          <w:sz w:val="32"/>
          <w:szCs w:val="32"/>
          <w:lang w:val="en-GB"/>
        </w:rPr>
        <w:t>As per terms of the PSC</w:t>
      </w:r>
      <w:r w:rsidR="00665C4A" w:rsidRPr="007A48E8">
        <w:rPr>
          <w:rFonts w:ascii="Arial" w:eastAsia="MS Mincho" w:hAnsi="Arial" w:cs="Arial"/>
          <w:sz w:val="32"/>
          <w:szCs w:val="32"/>
          <w:lang w:val="en-GB"/>
        </w:rPr>
        <w:t>,</w:t>
      </w:r>
      <w:r w:rsidRPr="007A48E8">
        <w:rPr>
          <w:rFonts w:ascii="Arial" w:eastAsia="MS Mincho" w:hAnsi="Arial" w:cs="Arial"/>
          <w:sz w:val="32"/>
          <w:szCs w:val="32"/>
          <w:lang w:val="en-GB"/>
        </w:rPr>
        <w:t xml:space="preserve"> Shell is required to comply with Government’s Local Content Policy </w:t>
      </w:r>
      <w:r w:rsidR="007C7553" w:rsidRPr="007A48E8">
        <w:rPr>
          <w:rFonts w:ascii="Arial" w:eastAsia="MS Mincho" w:hAnsi="Arial" w:cs="Arial"/>
          <w:sz w:val="32"/>
          <w:szCs w:val="32"/>
          <w:lang w:val="en-GB"/>
        </w:rPr>
        <w:t xml:space="preserve">which requires the contractor to maximize to the satisfaction of the Minister the level of usage of local goods and services and employment of nationals. However, Shell needs no reminder as the company has demonstrated </w:t>
      </w:r>
      <w:r w:rsidR="00D0641D" w:rsidRPr="007A48E8">
        <w:rPr>
          <w:rFonts w:ascii="Arial" w:eastAsia="MS Mincho" w:hAnsi="Arial" w:cs="Arial"/>
          <w:sz w:val="32"/>
          <w:szCs w:val="32"/>
          <w:lang w:val="en-GB"/>
        </w:rPr>
        <w:t>its commitment to local content and local value added through its community engagement initiatives and</w:t>
      </w:r>
      <w:r w:rsidR="007C7553" w:rsidRPr="007A48E8">
        <w:rPr>
          <w:rFonts w:ascii="Arial" w:eastAsia="MS Mincho" w:hAnsi="Arial" w:cs="Arial"/>
          <w:sz w:val="32"/>
          <w:szCs w:val="32"/>
          <w:lang w:val="en-GB"/>
        </w:rPr>
        <w:t xml:space="preserve"> </w:t>
      </w:r>
      <w:r w:rsidR="00D0641D" w:rsidRPr="007A48E8">
        <w:rPr>
          <w:rFonts w:ascii="Arial" w:hAnsi="Arial" w:cs="Arial"/>
          <w:color w:val="383636"/>
          <w:sz w:val="32"/>
          <w:szCs w:val="32"/>
          <w:shd w:val="clear" w:color="auto" w:fill="FFFFFF"/>
        </w:rPr>
        <w:t>its</w:t>
      </w:r>
      <w:r w:rsidRPr="007A48E8">
        <w:rPr>
          <w:rFonts w:ascii="Arial" w:hAnsi="Arial" w:cs="Arial"/>
          <w:color w:val="383636"/>
          <w:sz w:val="32"/>
          <w:szCs w:val="32"/>
          <w:shd w:val="clear" w:color="auto" w:fill="FFFFFF"/>
        </w:rPr>
        <w:t xml:space="preserve"> close partnership with industry, government, and other local stakeholders</w:t>
      </w:r>
      <w:r w:rsidR="00D0641D" w:rsidRPr="007A48E8">
        <w:rPr>
          <w:rFonts w:ascii="Arial" w:hAnsi="Arial" w:cs="Arial"/>
          <w:color w:val="383636"/>
          <w:sz w:val="32"/>
          <w:szCs w:val="32"/>
          <w:shd w:val="clear" w:color="auto" w:fill="FFFFFF"/>
        </w:rPr>
        <w:t>. I expect that this custom will continue.</w:t>
      </w:r>
    </w:p>
    <w:p w:rsidR="00815EE9" w:rsidRPr="007A48E8" w:rsidRDefault="00594010" w:rsidP="005A532B">
      <w:pPr>
        <w:spacing w:after="0" w:line="360" w:lineRule="auto"/>
        <w:jc w:val="both"/>
        <w:rPr>
          <w:rFonts w:ascii="Arial" w:hAnsi="Arial" w:cs="Arial"/>
          <w:sz w:val="32"/>
          <w:szCs w:val="32"/>
        </w:rPr>
      </w:pPr>
      <w:r w:rsidRPr="007A48E8">
        <w:rPr>
          <w:rFonts w:ascii="Arial" w:hAnsi="Arial" w:cs="Arial"/>
          <w:sz w:val="32"/>
          <w:szCs w:val="32"/>
        </w:rPr>
        <w:t>Both the Ministry Team led by the Minister of Energy and Energy Industries</w:t>
      </w:r>
      <w:r w:rsidR="00E13C92" w:rsidRPr="007A48E8">
        <w:rPr>
          <w:rFonts w:ascii="Arial" w:hAnsi="Arial" w:cs="Arial"/>
          <w:sz w:val="32"/>
          <w:szCs w:val="32"/>
        </w:rPr>
        <w:t xml:space="preserve"> and Minister in the Office of the Prime Minister</w:t>
      </w:r>
      <w:r w:rsidRPr="007A48E8">
        <w:rPr>
          <w:rFonts w:ascii="Arial" w:hAnsi="Arial" w:cs="Arial"/>
          <w:sz w:val="32"/>
          <w:szCs w:val="32"/>
        </w:rPr>
        <w:t>,</w:t>
      </w:r>
      <w:r w:rsidR="002334E4" w:rsidRPr="007A48E8">
        <w:rPr>
          <w:rFonts w:ascii="Arial" w:hAnsi="Arial" w:cs="Arial"/>
          <w:sz w:val="32"/>
          <w:szCs w:val="32"/>
        </w:rPr>
        <w:t xml:space="preserve"> </w:t>
      </w:r>
      <w:r w:rsidRPr="007A48E8">
        <w:rPr>
          <w:rFonts w:ascii="Arial" w:hAnsi="Arial" w:cs="Arial"/>
          <w:sz w:val="32"/>
          <w:szCs w:val="32"/>
        </w:rPr>
        <w:t xml:space="preserve">the Hon </w:t>
      </w:r>
      <w:r w:rsidRPr="007A48E8">
        <w:rPr>
          <w:rFonts w:ascii="Arial" w:hAnsi="Arial" w:cs="Arial"/>
          <w:sz w:val="32"/>
          <w:szCs w:val="32"/>
        </w:rPr>
        <w:lastRenderedPageBreak/>
        <w:t>Stuart Young  and</w:t>
      </w:r>
      <w:r w:rsidR="00E13C92" w:rsidRPr="007A48E8">
        <w:rPr>
          <w:rFonts w:ascii="Arial" w:hAnsi="Arial" w:cs="Arial"/>
          <w:sz w:val="32"/>
          <w:szCs w:val="32"/>
        </w:rPr>
        <w:t xml:space="preserve"> the</w:t>
      </w:r>
      <w:r w:rsidRPr="007A48E8">
        <w:rPr>
          <w:rFonts w:ascii="Arial" w:hAnsi="Arial" w:cs="Arial"/>
          <w:sz w:val="32"/>
          <w:szCs w:val="32"/>
        </w:rPr>
        <w:t xml:space="preserve"> Shell </w:t>
      </w:r>
      <w:r w:rsidR="00B86DF8" w:rsidRPr="007A48E8">
        <w:rPr>
          <w:rFonts w:ascii="Arial" w:hAnsi="Arial" w:cs="Arial"/>
          <w:sz w:val="32"/>
          <w:szCs w:val="32"/>
        </w:rPr>
        <w:t xml:space="preserve">Team </w:t>
      </w:r>
      <w:r w:rsidRPr="007A48E8">
        <w:rPr>
          <w:rFonts w:ascii="Arial" w:hAnsi="Arial" w:cs="Arial"/>
          <w:sz w:val="32"/>
          <w:szCs w:val="32"/>
        </w:rPr>
        <w:t xml:space="preserve">led by  </w:t>
      </w:r>
      <w:r w:rsidR="00022CF8" w:rsidRPr="007A48E8">
        <w:rPr>
          <w:rFonts w:ascii="Arial" w:hAnsi="Arial" w:cs="Arial"/>
          <w:sz w:val="32"/>
          <w:szCs w:val="32"/>
        </w:rPr>
        <w:t>Mr.</w:t>
      </w:r>
      <w:r w:rsidR="005A532B" w:rsidRPr="007A48E8">
        <w:rPr>
          <w:rFonts w:ascii="Arial" w:hAnsi="Arial" w:cs="Arial"/>
          <w:sz w:val="32"/>
          <w:szCs w:val="32"/>
        </w:rPr>
        <w:t xml:space="preserve"> Eugene Okpere, Senior Vice President and Country Chair are to be congratulated for their sterling work in successfully completing  the  negotiations </w:t>
      </w:r>
      <w:r w:rsidR="00442B45" w:rsidRPr="007A48E8">
        <w:rPr>
          <w:rFonts w:ascii="Arial" w:hAnsi="Arial" w:cs="Arial"/>
          <w:sz w:val="32"/>
          <w:szCs w:val="32"/>
        </w:rPr>
        <w:t>within time constraints</w:t>
      </w:r>
      <w:r w:rsidR="00623D2C" w:rsidRPr="007A48E8">
        <w:rPr>
          <w:rFonts w:ascii="Arial" w:hAnsi="Arial" w:cs="Arial"/>
          <w:sz w:val="32"/>
          <w:szCs w:val="32"/>
        </w:rPr>
        <w:t>.</w:t>
      </w:r>
      <w:r w:rsidR="007A48E8">
        <w:rPr>
          <w:rFonts w:ascii="Arial" w:hAnsi="Arial" w:cs="Arial"/>
          <w:sz w:val="32"/>
          <w:szCs w:val="32"/>
        </w:rPr>
        <w:t xml:space="preserve"> </w:t>
      </w:r>
      <w:r w:rsidR="00442B45" w:rsidRPr="007A48E8">
        <w:rPr>
          <w:rFonts w:ascii="Arial" w:hAnsi="Arial" w:cs="Arial"/>
          <w:sz w:val="32"/>
          <w:szCs w:val="32"/>
        </w:rPr>
        <w:t>This project is important to both the Government and Shell</w:t>
      </w:r>
      <w:r w:rsidR="00D51A33" w:rsidRPr="007A48E8">
        <w:rPr>
          <w:rFonts w:ascii="Arial" w:hAnsi="Arial" w:cs="Arial"/>
          <w:sz w:val="32"/>
          <w:szCs w:val="32"/>
        </w:rPr>
        <w:t>,</w:t>
      </w:r>
      <w:r w:rsidR="00442B45" w:rsidRPr="007A48E8">
        <w:rPr>
          <w:rFonts w:ascii="Arial" w:hAnsi="Arial" w:cs="Arial"/>
          <w:sz w:val="32"/>
          <w:szCs w:val="32"/>
        </w:rPr>
        <w:t xml:space="preserve"> </w:t>
      </w:r>
      <w:r w:rsidR="00210BDD" w:rsidRPr="007A48E8">
        <w:rPr>
          <w:rFonts w:ascii="Arial" w:hAnsi="Arial" w:cs="Arial"/>
          <w:sz w:val="32"/>
          <w:szCs w:val="32"/>
        </w:rPr>
        <w:t>as production from the field will form a significant proportion of domestic natural gas production and Shell’s natural gas portfolio</w:t>
      </w:r>
      <w:r w:rsidR="00764FE8" w:rsidRPr="007A48E8">
        <w:rPr>
          <w:rFonts w:ascii="Arial" w:hAnsi="Arial" w:cs="Arial"/>
          <w:sz w:val="32"/>
          <w:szCs w:val="32"/>
        </w:rPr>
        <w:t xml:space="preserve"> over the next decade.</w:t>
      </w:r>
    </w:p>
    <w:p w:rsidR="00AD6F5E" w:rsidRPr="007A48E8" w:rsidRDefault="00AD6F5E" w:rsidP="005A532B">
      <w:pPr>
        <w:spacing w:after="0" w:line="360" w:lineRule="auto"/>
        <w:jc w:val="both"/>
        <w:rPr>
          <w:rFonts w:ascii="Arial" w:hAnsi="Arial" w:cs="Arial"/>
          <w:sz w:val="32"/>
          <w:szCs w:val="32"/>
        </w:rPr>
      </w:pPr>
    </w:p>
    <w:p w:rsidR="00C47232" w:rsidRPr="007A48E8" w:rsidRDefault="00AD6F5E" w:rsidP="004E3EF8">
      <w:pPr>
        <w:pStyle w:val="NormalWeb"/>
        <w:shd w:val="clear" w:color="auto" w:fill="FFFFFF"/>
        <w:spacing w:before="0" w:beforeAutospacing="0" w:after="312" w:afterAutospacing="0" w:line="360" w:lineRule="auto"/>
        <w:jc w:val="both"/>
        <w:rPr>
          <w:rFonts w:ascii="Arial" w:hAnsi="Arial" w:cs="Arial"/>
          <w:sz w:val="32"/>
          <w:szCs w:val="32"/>
        </w:rPr>
      </w:pPr>
      <w:r w:rsidRPr="007A48E8">
        <w:rPr>
          <w:rFonts w:ascii="Arial" w:hAnsi="Arial" w:cs="Arial"/>
          <w:sz w:val="32"/>
          <w:szCs w:val="32"/>
        </w:rPr>
        <w:t>Shell has and continue</w:t>
      </w:r>
      <w:r w:rsidR="00665C4A" w:rsidRPr="007A48E8">
        <w:rPr>
          <w:rFonts w:ascii="Arial" w:hAnsi="Arial" w:cs="Arial"/>
          <w:sz w:val="32"/>
          <w:szCs w:val="32"/>
        </w:rPr>
        <w:t>s</w:t>
      </w:r>
      <w:r w:rsidRPr="007A48E8">
        <w:rPr>
          <w:rFonts w:ascii="Arial" w:hAnsi="Arial" w:cs="Arial"/>
          <w:sz w:val="32"/>
          <w:szCs w:val="32"/>
        </w:rPr>
        <w:t xml:space="preserve"> to be</w:t>
      </w:r>
      <w:r w:rsidR="00665C4A" w:rsidRPr="007A48E8">
        <w:rPr>
          <w:rFonts w:ascii="Arial" w:hAnsi="Arial" w:cs="Arial"/>
          <w:sz w:val="32"/>
          <w:szCs w:val="32"/>
        </w:rPr>
        <w:t xml:space="preserve"> an </w:t>
      </w:r>
      <w:r w:rsidRPr="007A48E8">
        <w:rPr>
          <w:rFonts w:ascii="Arial" w:hAnsi="Arial" w:cs="Arial"/>
          <w:sz w:val="32"/>
          <w:szCs w:val="32"/>
        </w:rPr>
        <w:t>invaluable partner to the Government</w:t>
      </w:r>
      <w:r w:rsidR="002334E4" w:rsidRPr="007A48E8">
        <w:rPr>
          <w:rFonts w:ascii="Arial" w:hAnsi="Arial" w:cs="Arial"/>
          <w:sz w:val="32"/>
          <w:szCs w:val="32"/>
        </w:rPr>
        <w:t xml:space="preserve"> and people</w:t>
      </w:r>
      <w:r w:rsidRPr="007A48E8">
        <w:rPr>
          <w:rFonts w:ascii="Arial" w:hAnsi="Arial" w:cs="Arial"/>
          <w:sz w:val="32"/>
          <w:szCs w:val="32"/>
        </w:rPr>
        <w:t xml:space="preserve"> in the development of the upstream sector in Trinidad and Tobago and in cross-border initiatives with the Government of Venezuela. </w:t>
      </w:r>
      <w:r w:rsidR="00F74299" w:rsidRPr="007A48E8">
        <w:rPr>
          <w:rFonts w:ascii="Arial" w:hAnsi="Arial" w:cs="Arial"/>
          <w:sz w:val="32"/>
          <w:szCs w:val="32"/>
        </w:rPr>
        <w:t>While the latter has been temporarily suspended</w:t>
      </w:r>
      <w:r w:rsidR="007B7C2F" w:rsidRPr="007A48E8">
        <w:rPr>
          <w:rFonts w:ascii="Arial" w:hAnsi="Arial" w:cs="Arial"/>
          <w:sz w:val="32"/>
          <w:szCs w:val="32"/>
        </w:rPr>
        <w:t>,</w:t>
      </w:r>
      <w:r w:rsidR="00F74299" w:rsidRPr="007A48E8">
        <w:rPr>
          <w:rFonts w:ascii="Arial" w:hAnsi="Arial" w:cs="Arial"/>
          <w:sz w:val="32"/>
          <w:szCs w:val="32"/>
        </w:rPr>
        <w:t xml:space="preserve"> </w:t>
      </w:r>
      <w:r w:rsidR="00C47232" w:rsidRPr="007A48E8">
        <w:rPr>
          <w:rFonts w:ascii="Arial" w:hAnsi="Arial" w:cs="Arial"/>
          <w:sz w:val="32"/>
          <w:szCs w:val="32"/>
        </w:rPr>
        <w:t xml:space="preserve">we are hopeful for re-engagement with </w:t>
      </w:r>
      <w:r w:rsidR="003F6F45" w:rsidRPr="007A48E8">
        <w:rPr>
          <w:rFonts w:ascii="Arial" w:hAnsi="Arial" w:cs="Arial"/>
          <w:sz w:val="32"/>
          <w:szCs w:val="32"/>
        </w:rPr>
        <w:t xml:space="preserve">the </w:t>
      </w:r>
      <w:r w:rsidR="00C47232" w:rsidRPr="007A48E8">
        <w:rPr>
          <w:rFonts w:ascii="Arial" w:hAnsi="Arial" w:cs="Arial"/>
          <w:sz w:val="32"/>
          <w:szCs w:val="32"/>
        </w:rPr>
        <w:t>Venezuelan Government</w:t>
      </w:r>
      <w:r w:rsidR="006C67FE" w:rsidRPr="007A48E8">
        <w:rPr>
          <w:rFonts w:ascii="Arial" w:hAnsi="Arial" w:cs="Arial"/>
          <w:sz w:val="32"/>
          <w:szCs w:val="32"/>
        </w:rPr>
        <w:t xml:space="preserve"> when </w:t>
      </w:r>
      <w:r w:rsidR="00C47232" w:rsidRPr="007A48E8">
        <w:rPr>
          <w:rFonts w:ascii="Arial" w:hAnsi="Arial" w:cs="Arial"/>
          <w:sz w:val="32"/>
          <w:szCs w:val="32"/>
        </w:rPr>
        <w:t>the environment permits</w:t>
      </w:r>
      <w:r w:rsidR="00D51A33" w:rsidRPr="007A48E8">
        <w:rPr>
          <w:rFonts w:ascii="Arial" w:hAnsi="Arial" w:cs="Arial"/>
          <w:sz w:val="32"/>
          <w:szCs w:val="32"/>
        </w:rPr>
        <w:t xml:space="preserve"> </w:t>
      </w:r>
      <w:r w:rsidR="00C47232" w:rsidRPr="007A48E8">
        <w:rPr>
          <w:rFonts w:ascii="Arial" w:hAnsi="Arial" w:cs="Arial"/>
          <w:sz w:val="32"/>
          <w:szCs w:val="32"/>
        </w:rPr>
        <w:t xml:space="preserve">and would welcome </w:t>
      </w:r>
      <w:r w:rsidR="00D51A33" w:rsidRPr="007A48E8">
        <w:rPr>
          <w:rFonts w:ascii="Arial" w:hAnsi="Arial" w:cs="Arial"/>
          <w:sz w:val="32"/>
          <w:szCs w:val="32"/>
        </w:rPr>
        <w:t>Shell’s</w:t>
      </w:r>
      <w:r w:rsidR="00C47232" w:rsidRPr="007A48E8">
        <w:rPr>
          <w:rFonts w:ascii="Arial" w:hAnsi="Arial" w:cs="Arial"/>
          <w:sz w:val="32"/>
          <w:szCs w:val="32"/>
        </w:rPr>
        <w:t xml:space="preserve"> renewed interest</w:t>
      </w:r>
      <w:r w:rsidR="0032435B" w:rsidRPr="007A48E8">
        <w:rPr>
          <w:rFonts w:ascii="Arial" w:hAnsi="Arial" w:cs="Arial"/>
          <w:sz w:val="32"/>
          <w:szCs w:val="32"/>
        </w:rPr>
        <w:t xml:space="preserve"> as a partner.</w:t>
      </w:r>
    </w:p>
    <w:p w:rsidR="00F53E66" w:rsidRPr="007A48E8" w:rsidRDefault="00477A88" w:rsidP="004E3EF8">
      <w:pPr>
        <w:pStyle w:val="NormalWeb"/>
        <w:shd w:val="clear" w:color="auto" w:fill="FFFFFF"/>
        <w:spacing w:before="0" w:beforeAutospacing="0" w:after="312" w:afterAutospacing="0" w:line="360" w:lineRule="auto"/>
        <w:jc w:val="both"/>
        <w:rPr>
          <w:rFonts w:ascii="Arial" w:hAnsi="Arial" w:cs="Arial"/>
          <w:color w:val="000000"/>
          <w:sz w:val="32"/>
          <w:szCs w:val="32"/>
        </w:rPr>
      </w:pPr>
      <w:r w:rsidRPr="007A48E8">
        <w:rPr>
          <w:rFonts w:ascii="Arial" w:hAnsi="Arial" w:cs="Arial"/>
          <w:sz w:val="32"/>
          <w:szCs w:val="32"/>
        </w:rPr>
        <w:t xml:space="preserve">Our relationship </w:t>
      </w:r>
      <w:r w:rsidR="00AD6F5E" w:rsidRPr="007A48E8">
        <w:rPr>
          <w:rFonts w:ascii="Arial" w:hAnsi="Arial" w:cs="Arial"/>
          <w:sz w:val="32"/>
          <w:szCs w:val="32"/>
        </w:rPr>
        <w:t xml:space="preserve">is a partnership which is based on equity, </w:t>
      </w:r>
      <w:r w:rsidR="00AB5983" w:rsidRPr="007A48E8">
        <w:rPr>
          <w:rFonts w:ascii="Arial" w:hAnsi="Arial" w:cs="Arial"/>
          <w:sz w:val="32"/>
          <w:szCs w:val="32"/>
        </w:rPr>
        <w:t>is mutually beneficial</w:t>
      </w:r>
      <w:r w:rsidR="00EE4823" w:rsidRPr="007A48E8">
        <w:rPr>
          <w:rFonts w:ascii="Arial" w:hAnsi="Arial" w:cs="Arial"/>
          <w:sz w:val="32"/>
          <w:szCs w:val="32"/>
        </w:rPr>
        <w:t xml:space="preserve"> and has grown from strength to strength. </w:t>
      </w:r>
      <w:r w:rsidR="004E3EF8" w:rsidRPr="007A48E8">
        <w:rPr>
          <w:rFonts w:ascii="Arial" w:hAnsi="Arial" w:cs="Arial"/>
          <w:sz w:val="32"/>
          <w:szCs w:val="32"/>
        </w:rPr>
        <w:t xml:space="preserve">Shell is a key player in </w:t>
      </w:r>
      <w:r w:rsidR="007A48E8" w:rsidRPr="007A48E8">
        <w:rPr>
          <w:rFonts w:ascii="Arial" w:hAnsi="Arial" w:cs="Arial"/>
          <w:sz w:val="32"/>
          <w:szCs w:val="32"/>
        </w:rPr>
        <w:t>the commercial</w:t>
      </w:r>
      <w:r w:rsidR="00F53E66" w:rsidRPr="007A48E8">
        <w:rPr>
          <w:rFonts w:ascii="Arial" w:hAnsi="Arial" w:cs="Arial"/>
          <w:color w:val="000000"/>
          <w:sz w:val="32"/>
          <w:szCs w:val="32"/>
        </w:rPr>
        <w:t xml:space="preserve"> restructuring of Atlantic LNG, and </w:t>
      </w:r>
      <w:r w:rsidR="004E3EF8" w:rsidRPr="007A48E8">
        <w:rPr>
          <w:rFonts w:ascii="Arial" w:hAnsi="Arial" w:cs="Arial"/>
          <w:color w:val="000000"/>
          <w:sz w:val="32"/>
          <w:szCs w:val="32"/>
        </w:rPr>
        <w:t xml:space="preserve">also in </w:t>
      </w:r>
      <w:r w:rsidR="00F53E66" w:rsidRPr="007A48E8">
        <w:rPr>
          <w:rFonts w:ascii="Arial" w:hAnsi="Arial" w:cs="Arial"/>
          <w:color w:val="000000"/>
          <w:sz w:val="32"/>
          <w:szCs w:val="32"/>
        </w:rPr>
        <w:t xml:space="preserve">the </w:t>
      </w:r>
      <w:r w:rsidR="004E3EF8" w:rsidRPr="007A48E8">
        <w:rPr>
          <w:rFonts w:ascii="Arial" w:hAnsi="Arial" w:cs="Arial"/>
          <w:color w:val="000000"/>
          <w:sz w:val="32"/>
          <w:szCs w:val="32"/>
        </w:rPr>
        <w:t xml:space="preserve">development </w:t>
      </w:r>
      <w:r w:rsidR="00F53E66" w:rsidRPr="007A48E8">
        <w:rPr>
          <w:rFonts w:ascii="Arial" w:hAnsi="Arial" w:cs="Arial"/>
          <w:color w:val="000000"/>
          <w:sz w:val="32"/>
          <w:szCs w:val="32"/>
        </w:rPr>
        <w:t xml:space="preserve">of </w:t>
      </w:r>
      <w:r w:rsidR="004E3EF8" w:rsidRPr="007A48E8">
        <w:rPr>
          <w:rFonts w:ascii="Arial" w:hAnsi="Arial" w:cs="Arial"/>
          <w:color w:val="000000"/>
          <w:sz w:val="32"/>
          <w:szCs w:val="32"/>
        </w:rPr>
        <w:t>the country’s</w:t>
      </w:r>
      <w:r w:rsidR="00F53E66" w:rsidRPr="007A48E8">
        <w:rPr>
          <w:rFonts w:ascii="Arial" w:hAnsi="Arial" w:cs="Arial"/>
          <w:color w:val="000000"/>
          <w:sz w:val="32"/>
          <w:szCs w:val="32"/>
        </w:rPr>
        <w:t xml:space="preserve"> </w:t>
      </w:r>
      <w:r w:rsidR="004E3EF8" w:rsidRPr="007A48E8">
        <w:rPr>
          <w:rFonts w:ascii="Arial" w:hAnsi="Arial" w:cs="Arial"/>
          <w:color w:val="000000"/>
          <w:sz w:val="32"/>
          <w:szCs w:val="32"/>
        </w:rPr>
        <w:t xml:space="preserve">first </w:t>
      </w:r>
      <w:r w:rsidR="00F53E66" w:rsidRPr="007A48E8">
        <w:rPr>
          <w:rFonts w:ascii="Arial" w:hAnsi="Arial" w:cs="Arial"/>
          <w:color w:val="000000"/>
          <w:sz w:val="32"/>
          <w:szCs w:val="32"/>
        </w:rPr>
        <w:t>utility scale solar project</w:t>
      </w:r>
      <w:r w:rsidR="004E3EF8" w:rsidRPr="007A48E8">
        <w:rPr>
          <w:rFonts w:ascii="Arial" w:hAnsi="Arial" w:cs="Arial"/>
          <w:color w:val="000000"/>
          <w:sz w:val="32"/>
          <w:szCs w:val="32"/>
        </w:rPr>
        <w:t xml:space="preserve">. </w:t>
      </w:r>
      <w:r w:rsidR="00AB5983" w:rsidRPr="007A48E8">
        <w:rPr>
          <w:rFonts w:ascii="Arial" w:hAnsi="Arial" w:cs="Arial"/>
          <w:color w:val="000000"/>
          <w:sz w:val="32"/>
          <w:szCs w:val="32"/>
        </w:rPr>
        <w:t xml:space="preserve">We look forward to your continued participation in the domestic energy sector and welcome your </w:t>
      </w:r>
      <w:r w:rsidR="007A48E8" w:rsidRPr="007A48E8">
        <w:rPr>
          <w:rFonts w:ascii="Arial" w:hAnsi="Arial" w:cs="Arial"/>
          <w:color w:val="000000"/>
          <w:sz w:val="32"/>
          <w:szCs w:val="32"/>
        </w:rPr>
        <w:t>commitment to</w:t>
      </w:r>
      <w:r w:rsidR="00F53E66" w:rsidRPr="007A48E8">
        <w:rPr>
          <w:rFonts w:ascii="Arial" w:hAnsi="Arial" w:cs="Arial"/>
          <w:color w:val="000000"/>
          <w:sz w:val="32"/>
          <w:szCs w:val="32"/>
        </w:rPr>
        <w:t xml:space="preserve"> securing Trinidad and Tobago’s energy </w:t>
      </w:r>
      <w:r w:rsidR="007A48E8" w:rsidRPr="007A48E8">
        <w:rPr>
          <w:rFonts w:ascii="Arial" w:hAnsi="Arial" w:cs="Arial"/>
          <w:color w:val="000000"/>
          <w:sz w:val="32"/>
          <w:szCs w:val="32"/>
        </w:rPr>
        <w:t>future as</w:t>
      </w:r>
      <w:r w:rsidR="005A0087" w:rsidRPr="007A48E8">
        <w:rPr>
          <w:rFonts w:ascii="Arial" w:hAnsi="Arial" w:cs="Arial"/>
          <w:color w:val="000000"/>
          <w:sz w:val="32"/>
          <w:szCs w:val="32"/>
        </w:rPr>
        <w:t xml:space="preserve"> we transition to a low carbon economy.</w:t>
      </w:r>
    </w:p>
    <w:p w:rsidR="00AD6F5E" w:rsidRPr="007A48E8" w:rsidRDefault="00DF5F3D" w:rsidP="005A532B">
      <w:pPr>
        <w:spacing w:after="0" w:line="360" w:lineRule="auto"/>
        <w:jc w:val="both"/>
        <w:rPr>
          <w:rFonts w:ascii="Arial" w:hAnsi="Arial" w:cs="Arial"/>
          <w:sz w:val="32"/>
          <w:szCs w:val="32"/>
        </w:rPr>
      </w:pPr>
      <w:r w:rsidRPr="007A48E8">
        <w:rPr>
          <w:rFonts w:ascii="Arial" w:hAnsi="Arial" w:cs="Arial"/>
          <w:sz w:val="32"/>
          <w:szCs w:val="32"/>
        </w:rPr>
        <w:lastRenderedPageBreak/>
        <w:t>T</w:t>
      </w:r>
      <w:r w:rsidR="00E440D8" w:rsidRPr="007A48E8">
        <w:rPr>
          <w:rFonts w:ascii="Arial" w:hAnsi="Arial" w:cs="Arial"/>
          <w:sz w:val="32"/>
          <w:szCs w:val="32"/>
        </w:rPr>
        <w:t xml:space="preserve">he last two years </w:t>
      </w:r>
      <w:r w:rsidRPr="007A48E8">
        <w:rPr>
          <w:rFonts w:ascii="Arial" w:hAnsi="Arial" w:cs="Arial"/>
          <w:sz w:val="32"/>
          <w:szCs w:val="32"/>
        </w:rPr>
        <w:t xml:space="preserve">in the domestic energy sector </w:t>
      </w:r>
      <w:r w:rsidR="00E440D8" w:rsidRPr="007A48E8">
        <w:rPr>
          <w:rFonts w:ascii="Arial" w:hAnsi="Arial" w:cs="Arial"/>
          <w:sz w:val="32"/>
          <w:szCs w:val="32"/>
        </w:rPr>
        <w:t xml:space="preserve">have been challenging </w:t>
      </w:r>
      <w:r w:rsidRPr="007A48E8">
        <w:rPr>
          <w:rFonts w:ascii="Arial" w:hAnsi="Arial" w:cs="Arial"/>
          <w:sz w:val="32"/>
          <w:szCs w:val="32"/>
        </w:rPr>
        <w:t>but</w:t>
      </w:r>
      <w:r w:rsidR="00E440D8" w:rsidRPr="007A48E8">
        <w:rPr>
          <w:rFonts w:ascii="Arial" w:hAnsi="Arial" w:cs="Arial"/>
          <w:sz w:val="32"/>
          <w:szCs w:val="32"/>
        </w:rPr>
        <w:t xml:space="preserve"> we are slowly recovering. We had turned the corner when covid-19 pandemic struck. This had </w:t>
      </w:r>
      <w:r w:rsidR="007A48E8" w:rsidRPr="007A48E8">
        <w:rPr>
          <w:rFonts w:ascii="Arial" w:hAnsi="Arial" w:cs="Arial"/>
          <w:sz w:val="32"/>
          <w:szCs w:val="32"/>
        </w:rPr>
        <w:t>the effect</w:t>
      </w:r>
      <w:r w:rsidR="00E440D8" w:rsidRPr="007A48E8">
        <w:rPr>
          <w:rFonts w:ascii="Arial" w:hAnsi="Arial" w:cs="Arial"/>
          <w:sz w:val="32"/>
          <w:szCs w:val="32"/>
        </w:rPr>
        <w:t xml:space="preserve"> o</w:t>
      </w:r>
      <w:r w:rsidR="007A48E8">
        <w:rPr>
          <w:rFonts w:ascii="Arial" w:hAnsi="Arial" w:cs="Arial"/>
          <w:sz w:val="32"/>
          <w:szCs w:val="32"/>
        </w:rPr>
        <w:t xml:space="preserve">f </w:t>
      </w:r>
      <w:r w:rsidR="005A0087" w:rsidRPr="007A48E8">
        <w:rPr>
          <w:rFonts w:ascii="Arial" w:hAnsi="Arial" w:cs="Arial"/>
          <w:sz w:val="32"/>
          <w:szCs w:val="32"/>
        </w:rPr>
        <w:t xml:space="preserve">dampening </w:t>
      </w:r>
      <w:r w:rsidR="00E440D8" w:rsidRPr="007A48E8">
        <w:rPr>
          <w:rFonts w:ascii="Arial" w:hAnsi="Arial" w:cs="Arial"/>
          <w:sz w:val="32"/>
          <w:szCs w:val="32"/>
        </w:rPr>
        <w:t>upstream activity which resulted in the delay</w:t>
      </w:r>
      <w:r w:rsidR="003F6F45" w:rsidRPr="007A48E8">
        <w:rPr>
          <w:rFonts w:ascii="Arial" w:hAnsi="Arial" w:cs="Arial"/>
          <w:sz w:val="32"/>
          <w:szCs w:val="32"/>
        </w:rPr>
        <w:t xml:space="preserve"> in the implementation</w:t>
      </w:r>
      <w:r w:rsidR="00E440D8" w:rsidRPr="007A48E8">
        <w:rPr>
          <w:rFonts w:ascii="Arial" w:hAnsi="Arial" w:cs="Arial"/>
          <w:sz w:val="32"/>
          <w:szCs w:val="32"/>
        </w:rPr>
        <w:t xml:space="preserve"> of new upstream projects  and as a consequence </w:t>
      </w:r>
      <w:r w:rsidR="00C05711" w:rsidRPr="007A48E8">
        <w:rPr>
          <w:rFonts w:ascii="Arial" w:hAnsi="Arial" w:cs="Arial"/>
          <w:sz w:val="32"/>
          <w:szCs w:val="32"/>
        </w:rPr>
        <w:t xml:space="preserve">a reduced </w:t>
      </w:r>
      <w:r w:rsidR="00E440D8" w:rsidRPr="007A48E8">
        <w:rPr>
          <w:rFonts w:ascii="Arial" w:hAnsi="Arial" w:cs="Arial"/>
          <w:sz w:val="32"/>
          <w:szCs w:val="32"/>
        </w:rPr>
        <w:t xml:space="preserve">gas supply. Both the downstream and LNG were impacted. </w:t>
      </w:r>
      <w:r w:rsidR="00B178B7" w:rsidRPr="007A48E8">
        <w:rPr>
          <w:rFonts w:ascii="Arial" w:hAnsi="Arial" w:cs="Arial"/>
          <w:sz w:val="32"/>
          <w:szCs w:val="32"/>
        </w:rPr>
        <w:t xml:space="preserve"> Overall gas supply and international market conditions saw a </w:t>
      </w:r>
      <w:r w:rsidR="00E440D8" w:rsidRPr="007A48E8">
        <w:rPr>
          <w:rFonts w:ascii="Arial" w:hAnsi="Arial" w:cs="Arial"/>
          <w:sz w:val="32"/>
          <w:szCs w:val="32"/>
        </w:rPr>
        <w:t xml:space="preserve">number of petrochemical </w:t>
      </w:r>
      <w:r w:rsidR="007A48E8" w:rsidRPr="007A48E8">
        <w:rPr>
          <w:rFonts w:ascii="Arial" w:hAnsi="Arial" w:cs="Arial"/>
          <w:sz w:val="32"/>
          <w:szCs w:val="32"/>
        </w:rPr>
        <w:t>plants being</w:t>
      </w:r>
      <w:r w:rsidR="00E440D8" w:rsidRPr="007A48E8">
        <w:rPr>
          <w:rFonts w:ascii="Arial" w:hAnsi="Arial" w:cs="Arial"/>
          <w:sz w:val="32"/>
          <w:szCs w:val="32"/>
        </w:rPr>
        <w:t xml:space="preserve"> taken offline, and Train 1 </w:t>
      </w:r>
      <w:r w:rsidRPr="007A48E8">
        <w:rPr>
          <w:rFonts w:ascii="Arial" w:hAnsi="Arial" w:cs="Arial"/>
          <w:sz w:val="32"/>
          <w:szCs w:val="32"/>
        </w:rPr>
        <w:t>was negatively impacted</w:t>
      </w:r>
      <w:r w:rsidR="00E440D8" w:rsidRPr="007A48E8">
        <w:rPr>
          <w:rFonts w:ascii="Arial" w:hAnsi="Arial" w:cs="Arial"/>
          <w:sz w:val="32"/>
          <w:szCs w:val="32"/>
        </w:rPr>
        <w:t>.</w:t>
      </w:r>
      <w:r w:rsidR="001E3B34" w:rsidRPr="007A48E8">
        <w:rPr>
          <w:rFonts w:ascii="Arial" w:hAnsi="Arial" w:cs="Arial"/>
          <w:sz w:val="32"/>
          <w:szCs w:val="32"/>
        </w:rPr>
        <w:t xml:space="preserve"> </w:t>
      </w:r>
      <w:r w:rsidR="00B178B7" w:rsidRPr="007A48E8">
        <w:rPr>
          <w:rFonts w:ascii="Arial" w:hAnsi="Arial" w:cs="Arial"/>
          <w:sz w:val="32"/>
          <w:szCs w:val="32"/>
        </w:rPr>
        <w:t xml:space="preserve">The shareholders are engaged in </w:t>
      </w:r>
      <w:r w:rsidR="007A48E8" w:rsidRPr="007A48E8">
        <w:rPr>
          <w:rFonts w:ascii="Arial" w:hAnsi="Arial" w:cs="Arial"/>
          <w:sz w:val="32"/>
          <w:szCs w:val="32"/>
        </w:rPr>
        <w:t>discussions with</w:t>
      </w:r>
      <w:r w:rsidR="00B178B7" w:rsidRPr="007A48E8">
        <w:rPr>
          <w:rFonts w:ascii="Arial" w:hAnsi="Arial" w:cs="Arial"/>
          <w:sz w:val="32"/>
          <w:szCs w:val="32"/>
        </w:rPr>
        <w:t xml:space="preserve"> </w:t>
      </w:r>
      <w:r w:rsidR="007A48E8" w:rsidRPr="007A48E8">
        <w:rPr>
          <w:rFonts w:ascii="Arial" w:hAnsi="Arial" w:cs="Arial"/>
          <w:sz w:val="32"/>
          <w:szCs w:val="32"/>
        </w:rPr>
        <w:t>a view</w:t>
      </w:r>
      <w:r w:rsidR="00B178B7" w:rsidRPr="007A48E8">
        <w:rPr>
          <w:rFonts w:ascii="Arial" w:hAnsi="Arial" w:cs="Arial"/>
          <w:sz w:val="32"/>
          <w:szCs w:val="32"/>
        </w:rPr>
        <w:t xml:space="preserve"> to </w:t>
      </w:r>
      <w:r w:rsidR="007A48E8" w:rsidRPr="007A48E8">
        <w:rPr>
          <w:rFonts w:ascii="Arial" w:hAnsi="Arial" w:cs="Arial"/>
          <w:sz w:val="32"/>
          <w:szCs w:val="32"/>
        </w:rPr>
        <w:t>making a</w:t>
      </w:r>
      <w:r w:rsidR="00B178B7" w:rsidRPr="007A48E8">
        <w:rPr>
          <w:rFonts w:ascii="Arial" w:hAnsi="Arial" w:cs="Arial"/>
          <w:sz w:val="32"/>
          <w:szCs w:val="32"/>
        </w:rPr>
        <w:t xml:space="preserve"> d</w:t>
      </w:r>
      <w:r w:rsidR="001E3B34" w:rsidRPr="007A48E8">
        <w:rPr>
          <w:rFonts w:ascii="Arial" w:hAnsi="Arial" w:cs="Arial"/>
          <w:sz w:val="32"/>
          <w:szCs w:val="32"/>
        </w:rPr>
        <w:t xml:space="preserve">etermination of </w:t>
      </w:r>
      <w:r w:rsidR="00202DF5" w:rsidRPr="007A48E8">
        <w:rPr>
          <w:rFonts w:ascii="Arial" w:hAnsi="Arial" w:cs="Arial"/>
          <w:sz w:val="32"/>
          <w:szCs w:val="32"/>
        </w:rPr>
        <w:t xml:space="preserve">the future </w:t>
      </w:r>
      <w:r w:rsidR="007A48E8" w:rsidRPr="007A48E8">
        <w:rPr>
          <w:rFonts w:ascii="Arial" w:hAnsi="Arial" w:cs="Arial"/>
          <w:sz w:val="32"/>
          <w:szCs w:val="32"/>
        </w:rPr>
        <w:t>of Train</w:t>
      </w:r>
      <w:r w:rsidR="00202DF5" w:rsidRPr="007A48E8">
        <w:rPr>
          <w:rFonts w:ascii="Arial" w:hAnsi="Arial" w:cs="Arial"/>
          <w:sz w:val="32"/>
          <w:szCs w:val="32"/>
        </w:rPr>
        <w:t xml:space="preserve"> 1 b</w:t>
      </w:r>
      <w:r w:rsidR="00B178B7" w:rsidRPr="007A48E8">
        <w:rPr>
          <w:rFonts w:ascii="Arial" w:hAnsi="Arial" w:cs="Arial"/>
          <w:sz w:val="32"/>
          <w:szCs w:val="32"/>
        </w:rPr>
        <w:t>y</w:t>
      </w:r>
      <w:r w:rsidR="00202DF5" w:rsidRPr="007A48E8">
        <w:rPr>
          <w:rFonts w:ascii="Arial" w:hAnsi="Arial" w:cs="Arial"/>
          <w:sz w:val="32"/>
          <w:szCs w:val="32"/>
        </w:rPr>
        <w:t xml:space="preserve"> </w:t>
      </w:r>
      <w:r w:rsidR="007A48E8" w:rsidRPr="007A48E8">
        <w:rPr>
          <w:rFonts w:ascii="Arial" w:hAnsi="Arial" w:cs="Arial"/>
          <w:sz w:val="32"/>
          <w:szCs w:val="32"/>
        </w:rPr>
        <w:t>the end</w:t>
      </w:r>
      <w:r w:rsidR="00202DF5" w:rsidRPr="007A48E8">
        <w:rPr>
          <w:rFonts w:ascii="Arial" w:hAnsi="Arial" w:cs="Arial"/>
          <w:sz w:val="32"/>
          <w:szCs w:val="32"/>
        </w:rPr>
        <w:t xml:space="preserve"> of the first quarter calendar year 2022.</w:t>
      </w:r>
    </w:p>
    <w:p w:rsidR="00202DF5" w:rsidRPr="007A48E8" w:rsidRDefault="00202DF5" w:rsidP="005A532B">
      <w:pPr>
        <w:spacing w:after="0" w:line="360" w:lineRule="auto"/>
        <w:jc w:val="both"/>
        <w:rPr>
          <w:rFonts w:ascii="Arial" w:hAnsi="Arial" w:cs="Arial"/>
          <w:sz w:val="32"/>
          <w:szCs w:val="32"/>
        </w:rPr>
      </w:pPr>
    </w:p>
    <w:p w:rsidR="00E01857" w:rsidRPr="007A48E8" w:rsidRDefault="00E440D8" w:rsidP="005A532B">
      <w:pPr>
        <w:spacing w:after="0" w:line="360" w:lineRule="auto"/>
        <w:jc w:val="both"/>
        <w:rPr>
          <w:rFonts w:ascii="Arial" w:hAnsi="Arial" w:cs="Arial"/>
          <w:sz w:val="32"/>
          <w:szCs w:val="32"/>
        </w:rPr>
      </w:pPr>
      <w:r w:rsidRPr="007A48E8">
        <w:rPr>
          <w:rFonts w:ascii="Arial" w:hAnsi="Arial" w:cs="Arial"/>
          <w:sz w:val="32"/>
          <w:szCs w:val="32"/>
        </w:rPr>
        <w:t xml:space="preserve">In the interim there </w:t>
      </w:r>
      <w:r w:rsidR="002705EE" w:rsidRPr="007A48E8">
        <w:rPr>
          <w:rFonts w:ascii="Arial" w:hAnsi="Arial" w:cs="Arial"/>
          <w:sz w:val="32"/>
          <w:szCs w:val="32"/>
        </w:rPr>
        <w:t>have been</w:t>
      </w:r>
      <w:r w:rsidRPr="007A48E8">
        <w:rPr>
          <w:rFonts w:ascii="Arial" w:hAnsi="Arial" w:cs="Arial"/>
          <w:sz w:val="32"/>
          <w:szCs w:val="32"/>
        </w:rPr>
        <w:t xml:space="preserve"> bright spots. </w:t>
      </w:r>
      <w:r w:rsidR="00AF2712" w:rsidRPr="007A48E8">
        <w:rPr>
          <w:rFonts w:ascii="Arial" w:hAnsi="Arial" w:cs="Arial"/>
          <w:sz w:val="32"/>
          <w:szCs w:val="32"/>
        </w:rPr>
        <w:t xml:space="preserve">Touchstone has continued to make new discoveries of oil and gas. </w:t>
      </w:r>
      <w:r w:rsidR="00AA560D" w:rsidRPr="007A48E8">
        <w:rPr>
          <w:rFonts w:ascii="Arial" w:hAnsi="Arial" w:cs="Arial"/>
          <w:sz w:val="32"/>
          <w:szCs w:val="32"/>
        </w:rPr>
        <w:t xml:space="preserve">BHP </w:t>
      </w:r>
      <w:r w:rsidR="00373B1B" w:rsidRPr="007A48E8">
        <w:rPr>
          <w:rFonts w:ascii="Arial" w:hAnsi="Arial" w:cs="Arial"/>
          <w:sz w:val="32"/>
          <w:szCs w:val="32"/>
        </w:rPr>
        <w:t>Block 3a Ruby/</w:t>
      </w:r>
      <w:r w:rsidR="007A48E8" w:rsidRPr="007A48E8">
        <w:rPr>
          <w:rFonts w:ascii="Arial" w:hAnsi="Arial" w:cs="Arial"/>
          <w:sz w:val="32"/>
          <w:szCs w:val="32"/>
        </w:rPr>
        <w:t>Delaware project</w:t>
      </w:r>
      <w:r w:rsidR="00373B1B" w:rsidRPr="007A48E8">
        <w:rPr>
          <w:rFonts w:ascii="Arial" w:hAnsi="Arial" w:cs="Arial"/>
          <w:sz w:val="32"/>
          <w:szCs w:val="32"/>
        </w:rPr>
        <w:t xml:space="preserve"> came on stream in May 2021,</w:t>
      </w:r>
      <w:r w:rsidR="004B5235" w:rsidRPr="007A48E8">
        <w:rPr>
          <w:rFonts w:ascii="Arial" w:hAnsi="Arial" w:cs="Arial"/>
          <w:sz w:val="32"/>
          <w:szCs w:val="32"/>
        </w:rPr>
        <w:t xml:space="preserve"> </w:t>
      </w:r>
      <w:r w:rsidR="00373B1B" w:rsidRPr="007A48E8">
        <w:rPr>
          <w:rFonts w:ascii="Arial" w:hAnsi="Arial" w:cs="Arial"/>
          <w:sz w:val="32"/>
          <w:szCs w:val="32"/>
        </w:rPr>
        <w:t xml:space="preserve">followed by </w:t>
      </w:r>
      <w:r w:rsidR="00AF2712" w:rsidRPr="007A48E8">
        <w:rPr>
          <w:rFonts w:ascii="Arial" w:hAnsi="Arial" w:cs="Arial"/>
          <w:sz w:val="32"/>
          <w:szCs w:val="32"/>
        </w:rPr>
        <w:t xml:space="preserve">Shell’s </w:t>
      </w:r>
      <w:r w:rsidR="00373B1B" w:rsidRPr="007A48E8">
        <w:rPr>
          <w:rFonts w:ascii="Arial" w:hAnsi="Arial" w:cs="Arial"/>
          <w:sz w:val="32"/>
          <w:szCs w:val="32"/>
        </w:rPr>
        <w:t xml:space="preserve">Block 5c </w:t>
      </w:r>
      <w:r w:rsidR="00AF2712" w:rsidRPr="007A48E8">
        <w:rPr>
          <w:rFonts w:ascii="Arial" w:hAnsi="Arial" w:cs="Arial"/>
          <w:sz w:val="32"/>
          <w:szCs w:val="32"/>
        </w:rPr>
        <w:t xml:space="preserve">Barracuda project </w:t>
      </w:r>
      <w:r w:rsidR="007A48E8" w:rsidRPr="007A48E8">
        <w:rPr>
          <w:rFonts w:ascii="Arial" w:hAnsi="Arial" w:cs="Arial"/>
          <w:sz w:val="32"/>
          <w:szCs w:val="32"/>
        </w:rPr>
        <w:t>and bpTT’s</w:t>
      </w:r>
      <w:r w:rsidR="00AF2712" w:rsidRPr="007A48E8">
        <w:rPr>
          <w:rFonts w:ascii="Arial" w:hAnsi="Arial" w:cs="Arial"/>
          <w:sz w:val="32"/>
          <w:szCs w:val="32"/>
        </w:rPr>
        <w:t xml:space="preserve"> Matapal field. </w:t>
      </w:r>
      <w:r w:rsidR="00C575BC" w:rsidRPr="007A48E8">
        <w:rPr>
          <w:rFonts w:ascii="Arial" w:hAnsi="Arial" w:cs="Arial"/>
          <w:sz w:val="32"/>
          <w:szCs w:val="32"/>
        </w:rPr>
        <w:t xml:space="preserve">The joint venture of </w:t>
      </w:r>
      <w:r w:rsidR="000610B8" w:rsidRPr="007A48E8">
        <w:rPr>
          <w:rFonts w:ascii="Arial" w:hAnsi="Arial" w:cs="Arial"/>
          <w:sz w:val="32"/>
          <w:szCs w:val="32"/>
        </w:rPr>
        <w:t xml:space="preserve">EOG and </w:t>
      </w:r>
      <w:r w:rsidR="00A87F7E" w:rsidRPr="007A48E8">
        <w:rPr>
          <w:rFonts w:ascii="Arial" w:hAnsi="Arial" w:cs="Arial"/>
          <w:sz w:val="32"/>
          <w:szCs w:val="32"/>
        </w:rPr>
        <w:t>b</w:t>
      </w:r>
      <w:r w:rsidR="000610B8" w:rsidRPr="007A48E8">
        <w:rPr>
          <w:rFonts w:ascii="Arial" w:hAnsi="Arial" w:cs="Arial"/>
          <w:sz w:val="32"/>
          <w:szCs w:val="32"/>
        </w:rPr>
        <w:t>pTT announce</w:t>
      </w:r>
      <w:r w:rsidR="00E01857" w:rsidRPr="007A48E8">
        <w:rPr>
          <w:rFonts w:ascii="Arial" w:hAnsi="Arial" w:cs="Arial"/>
          <w:sz w:val="32"/>
          <w:szCs w:val="32"/>
        </w:rPr>
        <w:t>d</w:t>
      </w:r>
      <w:r w:rsidR="000610B8" w:rsidRPr="007A48E8">
        <w:rPr>
          <w:rFonts w:ascii="Arial" w:hAnsi="Arial" w:cs="Arial"/>
          <w:sz w:val="32"/>
          <w:szCs w:val="32"/>
        </w:rPr>
        <w:t xml:space="preserve"> the</w:t>
      </w:r>
      <w:r w:rsidR="00C575BC" w:rsidRPr="007A48E8">
        <w:rPr>
          <w:rFonts w:ascii="Arial" w:hAnsi="Arial" w:cs="Arial"/>
          <w:sz w:val="32"/>
          <w:szCs w:val="32"/>
        </w:rPr>
        <w:t xml:space="preserve"> discovery of the Mento natural gas field</w:t>
      </w:r>
      <w:r w:rsidR="00C65178" w:rsidRPr="007A48E8">
        <w:rPr>
          <w:rFonts w:ascii="Arial" w:hAnsi="Arial" w:cs="Arial"/>
          <w:sz w:val="32"/>
          <w:szCs w:val="32"/>
        </w:rPr>
        <w:t>. In the near term</w:t>
      </w:r>
      <w:r w:rsidR="004B5235" w:rsidRPr="007A48E8">
        <w:rPr>
          <w:rFonts w:ascii="Arial" w:hAnsi="Arial" w:cs="Arial"/>
          <w:sz w:val="32"/>
          <w:szCs w:val="32"/>
        </w:rPr>
        <w:t>,</w:t>
      </w:r>
      <w:r w:rsidR="00C65178" w:rsidRPr="007A48E8">
        <w:rPr>
          <w:rFonts w:ascii="Arial" w:hAnsi="Arial" w:cs="Arial"/>
          <w:sz w:val="32"/>
          <w:szCs w:val="32"/>
        </w:rPr>
        <w:t xml:space="preserve"> that is</w:t>
      </w:r>
      <w:r w:rsidR="004B5235" w:rsidRPr="007A48E8">
        <w:rPr>
          <w:rFonts w:ascii="Arial" w:hAnsi="Arial" w:cs="Arial"/>
          <w:sz w:val="32"/>
          <w:szCs w:val="32"/>
        </w:rPr>
        <w:t>,</w:t>
      </w:r>
      <w:r w:rsidR="00C65178" w:rsidRPr="007A48E8">
        <w:rPr>
          <w:rFonts w:ascii="Arial" w:hAnsi="Arial" w:cs="Arial"/>
          <w:sz w:val="32"/>
          <w:szCs w:val="32"/>
        </w:rPr>
        <w:t xml:space="preserve"> in 2022</w:t>
      </w:r>
      <w:r w:rsidR="004B5235" w:rsidRPr="007A48E8">
        <w:rPr>
          <w:rFonts w:ascii="Arial" w:hAnsi="Arial" w:cs="Arial"/>
          <w:sz w:val="32"/>
          <w:szCs w:val="32"/>
        </w:rPr>
        <w:t>,</w:t>
      </w:r>
      <w:r w:rsidR="00C65178" w:rsidRPr="007A48E8">
        <w:rPr>
          <w:rFonts w:ascii="Arial" w:hAnsi="Arial" w:cs="Arial"/>
          <w:sz w:val="32"/>
          <w:szCs w:val="32"/>
        </w:rPr>
        <w:t xml:space="preserve"> </w:t>
      </w:r>
      <w:r w:rsidR="00463A55" w:rsidRPr="007A48E8">
        <w:rPr>
          <w:rFonts w:ascii="Arial" w:hAnsi="Arial" w:cs="Arial"/>
          <w:sz w:val="32"/>
          <w:szCs w:val="32"/>
        </w:rPr>
        <w:t>BP</w:t>
      </w:r>
      <w:r w:rsidR="00C65178" w:rsidRPr="007A48E8">
        <w:rPr>
          <w:rFonts w:ascii="Arial" w:hAnsi="Arial" w:cs="Arial"/>
          <w:sz w:val="32"/>
          <w:szCs w:val="32"/>
        </w:rPr>
        <w:t xml:space="preserve">TT Cassia Development and Shell’s Colibri Project based on NCMA 4 and Block 22 </w:t>
      </w:r>
      <w:r w:rsidR="00146EC0" w:rsidRPr="007A48E8">
        <w:rPr>
          <w:rFonts w:ascii="Arial" w:hAnsi="Arial" w:cs="Arial"/>
          <w:sz w:val="32"/>
          <w:szCs w:val="32"/>
        </w:rPr>
        <w:t xml:space="preserve">developments are due to come onstream. </w:t>
      </w:r>
      <w:r w:rsidR="00E01857" w:rsidRPr="007A48E8">
        <w:rPr>
          <w:rFonts w:ascii="Arial" w:hAnsi="Arial" w:cs="Arial"/>
          <w:sz w:val="32"/>
          <w:szCs w:val="32"/>
        </w:rPr>
        <w:t>On implementation</w:t>
      </w:r>
      <w:r w:rsidR="006C67FE" w:rsidRPr="007A48E8">
        <w:rPr>
          <w:rFonts w:ascii="Arial" w:hAnsi="Arial" w:cs="Arial"/>
          <w:sz w:val="32"/>
          <w:szCs w:val="32"/>
        </w:rPr>
        <w:t>,</w:t>
      </w:r>
      <w:r w:rsidR="00E01857" w:rsidRPr="007A48E8">
        <w:rPr>
          <w:rFonts w:ascii="Arial" w:hAnsi="Arial" w:cs="Arial"/>
          <w:sz w:val="32"/>
          <w:szCs w:val="32"/>
        </w:rPr>
        <w:t xml:space="preserve"> these</w:t>
      </w:r>
      <w:r w:rsidR="00146EC0" w:rsidRPr="007A48E8">
        <w:rPr>
          <w:rFonts w:ascii="Arial" w:hAnsi="Arial" w:cs="Arial"/>
          <w:sz w:val="32"/>
          <w:szCs w:val="32"/>
        </w:rPr>
        <w:t xml:space="preserve"> gas projects </w:t>
      </w:r>
      <w:r w:rsidR="007A48E8" w:rsidRPr="007A48E8">
        <w:rPr>
          <w:rFonts w:ascii="Arial" w:hAnsi="Arial" w:cs="Arial"/>
          <w:sz w:val="32"/>
          <w:szCs w:val="32"/>
        </w:rPr>
        <w:t>will help</w:t>
      </w:r>
      <w:r w:rsidR="00C701CA" w:rsidRPr="007A48E8">
        <w:rPr>
          <w:rFonts w:ascii="Arial" w:hAnsi="Arial" w:cs="Arial"/>
          <w:sz w:val="32"/>
          <w:szCs w:val="32"/>
        </w:rPr>
        <w:t xml:space="preserve"> in alleviating the</w:t>
      </w:r>
      <w:r w:rsidR="00564B95" w:rsidRPr="007A48E8">
        <w:rPr>
          <w:rFonts w:ascii="Arial" w:hAnsi="Arial" w:cs="Arial"/>
          <w:sz w:val="32"/>
          <w:szCs w:val="32"/>
        </w:rPr>
        <w:t xml:space="preserve"> current</w:t>
      </w:r>
      <w:r w:rsidR="00C701CA" w:rsidRPr="007A48E8">
        <w:rPr>
          <w:rFonts w:ascii="Arial" w:hAnsi="Arial" w:cs="Arial"/>
          <w:sz w:val="32"/>
          <w:szCs w:val="32"/>
        </w:rPr>
        <w:t xml:space="preserve"> natural</w:t>
      </w:r>
      <w:r w:rsidR="00EA04D5" w:rsidRPr="007A48E8">
        <w:rPr>
          <w:rFonts w:ascii="Arial" w:hAnsi="Arial" w:cs="Arial"/>
          <w:sz w:val="32"/>
          <w:szCs w:val="32"/>
        </w:rPr>
        <w:t xml:space="preserve"> gas</w:t>
      </w:r>
      <w:r w:rsidR="00C701CA" w:rsidRPr="007A48E8">
        <w:rPr>
          <w:rFonts w:ascii="Arial" w:hAnsi="Arial" w:cs="Arial"/>
          <w:sz w:val="32"/>
          <w:szCs w:val="32"/>
        </w:rPr>
        <w:t xml:space="preserve"> concerns of the domestic downstream industry </w:t>
      </w:r>
      <w:r w:rsidR="007A48E8" w:rsidRPr="007A48E8">
        <w:rPr>
          <w:rFonts w:ascii="Arial" w:hAnsi="Arial" w:cs="Arial"/>
          <w:sz w:val="32"/>
          <w:szCs w:val="32"/>
        </w:rPr>
        <w:t>and the</w:t>
      </w:r>
      <w:r w:rsidR="00EA04D5" w:rsidRPr="007A48E8">
        <w:rPr>
          <w:rFonts w:ascii="Arial" w:hAnsi="Arial" w:cs="Arial"/>
          <w:sz w:val="32"/>
          <w:szCs w:val="32"/>
        </w:rPr>
        <w:t xml:space="preserve"> LNG producers.</w:t>
      </w:r>
      <w:r w:rsidR="00564B95" w:rsidRPr="007A48E8">
        <w:rPr>
          <w:rFonts w:ascii="Arial" w:hAnsi="Arial" w:cs="Arial"/>
          <w:sz w:val="32"/>
          <w:szCs w:val="32"/>
        </w:rPr>
        <w:t xml:space="preserve"> </w:t>
      </w:r>
    </w:p>
    <w:p w:rsidR="00D43746" w:rsidRPr="007A48E8" w:rsidRDefault="00D43746" w:rsidP="00C402DA">
      <w:pPr>
        <w:spacing w:after="0" w:line="360" w:lineRule="auto"/>
        <w:jc w:val="both"/>
        <w:rPr>
          <w:rFonts w:ascii="Arial" w:hAnsi="Arial" w:cs="Arial"/>
          <w:sz w:val="32"/>
          <w:szCs w:val="32"/>
        </w:rPr>
      </w:pPr>
    </w:p>
    <w:p w:rsidR="00C402DA" w:rsidRPr="007A48E8" w:rsidRDefault="00C402DA" w:rsidP="00C402DA">
      <w:pPr>
        <w:spacing w:after="0" w:line="360" w:lineRule="auto"/>
        <w:jc w:val="both"/>
        <w:rPr>
          <w:rFonts w:ascii="Arial" w:hAnsi="Arial" w:cs="Arial"/>
          <w:sz w:val="32"/>
          <w:szCs w:val="32"/>
        </w:rPr>
      </w:pPr>
      <w:r w:rsidRPr="007A48E8">
        <w:rPr>
          <w:rFonts w:ascii="Arial" w:hAnsi="Arial" w:cs="Arial"/>
          <w:sz w:val="32"/>
          <w:szCs w:val="32"/>
        </w:rPr>
        <w:t xml:space="preserve">However, the key to reducing or eliminating any gas shortfall in the medium </w:t>
      </w:r>
      <w:r w:rsidR="007A48E8" w:rsidRPr="007A48E8">
        <w:rPr>
          <w:rFonts w:ascii="Arial" w:hAnsi="Arial" w:cs="Arial"/>
          <w:sz w:val="32"/>
          <w:szCs w:val="32"/>
        </w:rPr>
        <w:t>term is</w:t>
      </w:r>
      <w:r w:rsidRPr="007A48E8">
        <w:rPr>
          <w:rFonts w:ascii="Arial" w:hAnsi="Arial" w:cs="Arial"/>
          <w:sz w:val="32"/>
          <w:szCs w:val="32"/>
        </w:rPr>
        <w:t xml:space="preserve"> the approval of the current unsanctioned projects. The Government is engaging the </w:t>
      </w:r>
      <w:r w:rsidR="007A48E8" w:rsidRPr="007A48E8">
        <w:rPr>
          <w:rFonts w:ascii="Arial" w:hAnsi="Arial" w:cs="Arial"/>
          <w:sz w:val="32"/>
          <w:szCs w:val="32"/>
        </w:rPr>
        <w:t>upstream companies</w:t>
      </w:r>
      <w:r w:rsidR="007A48E8">
        <w:rPr>
          <w:rFonts w:ascii="Arial" w:hAnsi="Arial" w:cs="Arial"/>
          <w:sz w:val="32"/>
          <w:szCs w:val="32"/>
        </w:rPr>
        <w:t xml:space="preserve"> </w:t>
      </w:r>
      <w:r w:rsidRPr="007A48E8">
        <w:rPr>
          <w:rFonts w:ascii="Arial" w:hAnsi="Arial" w:cs="Arial"/>
          <w:sz w:val="32"/>
          <w:szCs w:val="32"/>
        </w:rPr>
        <w:t xml:space="preserve">on the approval of the unsanctioned projects and we are prepared to facilitate the companies to achieve this objective. </w:t>
      </w:r>
      <w:r w:rsidR="00C16030" w:rsidRPr="007A48E8">
        <w:rPr>
          <w:rFonts w:ascii="Arial" w:hAnsi="Arial" w:cs="Arial"/>
          <w:sz w:val="32"/>
          <w:szCs w:val="32"/>
        </w:rPr>
        <w:t>Our recent meetings in London leave us very optimistic that more projects of current interest will be sanctioned as we go forward into the near and medium term.</w:t>
      </w:r>
    </w:p>
    <w:p w:rsidR="00C402DA" w:rsidRPr="007A48E8" w:rsidRDefault="00C402DA" w:rsidP="00307BF2">
      <w:pPr>
        <w:spacing w:line="360" w:lineRule="auto"/>
        <w:jc w:val="both"/>
        <w:rPr>
          <w:rFonts w:ascii="Arial" w:hAnsi="Arial" w:cs="Arial"/>
          <w:sz w:val="32"/>
          <w:szCs w:val="32"/>
        </w:rPr>
      </w:pPr>
    </w:p>
    <w:p w:rsidR="006044BE" w:rsidRPr="007A48E8" w:rsidRDefault="00564B95" w:rsidP="00E5720D">
      <w:pPr>
        <w:spacing w:after="0" w:line="360" w:lineRule="auto"/>
        <w:jc w:val="both"/>
        <w:rPr>
          <w:rFonts w:ascii="Arial" w:hAnsi="Arial" w:cs="Arial"/>
          <w:sz w:val="32"/>
          <w:szCs w:val="32"/>
        </w:rPr>
      </w:pPr>
      <w:r w:rsidRPr="007A48E8">
        <w:rPr>
          <w:rFonts w:ascii="Arial" w:hAnsi="Arial" w:cs="Arial"/>
          <w:sz w:val="32"/>
          <w:szCs w:val="32"/>
        </w:rPr>
        <w:t>Natural gas projections show that gas production will steadily increase to 2024</w:t>
      </w:r>
      <w:r w:rsidR="00FF5970" w:rsidRPr="007A48E8">
        <w:rPr>
          <w:rFonts w:ascii="Arial" w:hAnsi="Arial" w:cs="Arial"/>
          <w:sz w:val="32"/>
          <w:szCs w:val="32"/>
        </w:rPr>
        <w:t>, the</w:t>
      </w:r>
      <w:r w:rsidR="00D14EC7" w:rsidRPr="007A48E8">
        <w:rPr>
          <w:rFonts w:ascii="Arial" w:hAnsi="Arial" w:cs="Arial"/>
          <w:sz w:val="32"/>
          <w:szCs w:val="32"/>
        </w:rPr>
        <w:t>n undergo a brief decline before rebounding in the 2026/2027 period</w:t>
      </w:r>
      <w:r w:rsidR="004B5235" w:rsidRPr="007A48E8">
        <w:rPr>
          <w:rFonts w:ascii="Arial" w:hAnsi="Arial" w:cs="Arial"/>
          <w:sz w:val="32"/>
          <w:szCs w:val="32"/>
        </w:rPr>
        <w:t>,</w:t>
      </w:r>
      <w:r w:rsidR="00D14EC7" w:rsidRPr="007A48E8">
        <w:rPr>
          <w:rFonts w:ascii="Arial" w:hAnsi="Arial" w:cs="Arial"/>
          <w:sz w:val="32"/>
          <w:szCs w:val="32"/>
        </w:rPr>
        <w:t xml:space="preserve"> </w:t>
      </w:r>
      <w:r w:rsidR="00C402DA" w:rsidRPr="007A48E8">
        <w:rPr>
          <w:rFonts w:ascii="Arial" w:hAnsi="Arial" w:cs="Arial"/>
          <w:sz w:val="32"/>
          <w:szCs w:val="32"/>
        </w:rPr>
        <w:t>hence the need to accelerate the approval of unsanctioned projects. During the period 2026/2027</w:t>
      </w:r>
      <w:r w:rsidR="004B5235" w:rsidRPr="007A48E8">
        <w:rPr>
          <w:rFonts w:ascii="Arial" w:hAnsi="Arial" w:cs="Arial"/>
          <w:sz w:val="32"/>
          <w:szCs w:val="32"/>
        </w:rPr>
        <w:t>,</w:t>
      </w:r>
      <w:r w:rsidR="00C402DA" w:rsidRPr="007A48E8">
        <w:rPr>
          <w:rFonts w:ascii="Arial" w:hAnsi="Arial" w:cs="Arial"/>
          <w:sz w:val="32"/>
          <w:szCs w:val="32"/>
        </w:rPr>
        <w:t xml:space="preserve"> </w:t>
      </w:r>
      <w:r w:rsidR="00E01857" w:rsidRPr="007A48E8">
        <w:rPr>
          <w:rFonts w:ascii="Arial" w:hAnsi="Arial" w:cs="Arial"/>
          <w:sz w:val="32"/>
          <w:szCs w:val="32"/>
        </w:rPr>
        <w:t xml:space="preserve">Shell’s Manatee </w:t>
      </w:r>
      <w:r w:rsidRPr="007A48E8">
        <w:rPr>
          <w:rFonts w:ascii="Arial" w:hAnsi="Arial" w:cs="Arial"/>
          <w:sz w:val="32"/>
          <w:szCs w:val="32"/>
        </w:rPr>
        <w:t>and BHP</w:t>
      </w:r>
      <w:r w:rsidR="00E01857" w:rsidRPr="007A48E8">
        <w:rPr>
          <w:rFonts w:ascii="Arial" w:hAnsi="Arial" w:cs="Arial"/>
          <w:sz w:val="32"/>
          <w:szCs w:val="32"/>
        </w:rPr>
        <w:t xml:space="preserve"> </w:t>
      </w:r>
      <w:r w:rsidR="00D83458" w:rsidRPr="007A48E8">
        <w:rPr>
          <w:rFonts w:ascii="Arial" w:hAnsi="Arial" w:cs="Arial"/>
          <w:sz w:val="32"/>
          <w:szCs w:val="32"/>
        </w:rPr>
        <w:t>deep-water</w:t>
      </w:r>
      <w:r w:rsidR="00E01857" w:rsidRPr="007A48E8">
        <w:rPr>
          <w:rFonts w:ascii="Arial" w:hAnsi="Arial" w:cs="Arial"/>
          <w:sz w:val="32"/>
          <w:szCs w:val="32"/>
        </w:rPr>
        <w:t xml:space="preserve"> projects</w:t>
      </w:r>
      <w:r w:rsidR="009F0E7A" w:rsidRPr="007A48E8">
        <w:rPr>
          <w:rFonts w:ascii="Arial" w:hAnsi="Arial" w:cs="Arial"/>
          <w:sz w:val="32"/>
          <w:szCs w:val="32"/>
        </w:rPr>
        <w:t xml:space="preserve"> are projected to come onstream. </w:t>
      </w:r>
      <w:r w:rsidR="00E01857" w:rsidRPr="007A48E8">
        <w:rPr>
          <w:rFonts w:ascii="Arial" w:hAnsi="Arial" w:cs="Arial"/>
          <w:sz w:val="32"/>
          <w:szCs w:val="32"/>
        </w:rPr>
        <w:t xml:space="preserve"> These projects</w:t>
      </w:r>
      <w:r w:rsidR="00726E93" w:rsidRPr="007A48E8">
        <w:rPr>
          <w:rFonts w:ascii="Arial" w:hAnsi="Arial" w:cs="Arial"/>
          <w:sz w:val="32"/>
          <w:szCs w:val="32"/>
        </w:rPr>
        <w:t xml:space="preserve"> together</w:t>
      </w:r>
      <w:r w:rsidR="00E01857" w:rsidRPr="007A48E8">
        <w:rPr>
          <w:rFonts w:ascii="Arial" w:hAnsi="Arial" w:cs="Arial"/>
          <w:sz w:val="32"/>
          <w:szCs w:val="32"/>
        </w:rPr>
        <w:t xml:space="preserve"> have the potential to supply</w:t>
      </w:r>
      <w:r w:rsidR="00620C09" w:rsidRPr="007A48E8">
        <w:rPr>
          <w:rFonts w:ascii="Arial" w:hAnsi="Arial" w:cs="Arial"/>
          <w:sz w:val="32"/>
          <w:szCs w:val="32"/>
        </w:rPr>
        <w:t xml:space="preserve"> </w:t>
      </w:r>
      <w:r w:rsidR="00726E93" w:rsidRPr="007A48E8">
        <w:rPr>
          <w:rFonts w:ascii="Arial" w:hAnsi="Arial" w:cs="Arial"/>
          <w:sz w:val="32"/>
          <w:szCs w:val="32"/>
        </w:rPr>
        <w:t xml:space="preserve">in excess of </w:t>
      </w:r>
      <w:r w:rsidR="00E01857" w:rsidRPr="007A48E8">
        <w:rPr>
          <w:rFonts w:ascii="Arial" w:hAnsi="Arial" w:cs="Arial"/>
          <w:sz w:val="32"/>
          <w:szCs w:val="32"/>
        </w:rPr>
        <w:t xml:space="preserve">1.0 bcf per day </w:t>
      </w:r>
      <w:r w:rsidR="00620C09" w:rsidRPr="007A48E8">
        <w:rPr>
          <w:rFonts w:ascii="Arial" w:hAnsi="Arial" w:cs="Arial"/>
          <w:sz w:val="32"/>
          <w:szCs w:val="32"/>
        </w:rPr>
        <w:t xml:space="preserve">of natural gas in the period beyond </w:t>
      </w:r>
      <w:r w:rsidR="00232300" w:rsidRPr="007A48E8">
        <w:rPr>
          <w:rFonts w:ascii="Arial" w:hAnsi="Arial" w:cs="Arial"/>
          <w:sz w:val="32"/>
          <w:szCs w:val="32"/>
        </w:rPr>
        <w:t>2026</w:t>
      </w:r>
      <w:r w:rsidR="004B5235" w:rsidRPr="007A48E8">
        <w:rPr>
          <w:rFonts w:ascii="Arial" w:hAnsi="Arial" w:cs="Arial"/>
          <w:sz w:val="32"/>
          <w:szCs w:val="32"/>
        </w:rPr>
        <w:t>,</w:t>
      </w:r>
      <w:r w:rsidR="00232300" w:rsidRPr="007A48E8">
        <w:rPr>
          <w:rFonts w:ascii="Arial" w:hAnsi="Arial" w:cs="Arial"/>
          <w:sz w:val="32"/>
          <w:szCs w:val="32"/>
        </w:rPr>
        <w:t xml:space="preserve"> for the life of the projects.</w:t>
      </w:r>
      <w:r w:rsidR="00F06323" w:rsidRPr="007A48E8">
        <w:rPr>
          <w:rFonts w:ascii="Arial" w:hAnsi="Arial" w:cs="Arial"/>
          <w:sz w:val="32"/>
          <w:szCs w:val="32"/>
        </w:rPr>
        <w:t xml:space="preserve"> A key element of the development plan for these projects is access to the LNG markets. </w:t>
      </w:r>
      <w:r w:rsidR="00FA3BE7" w:rsidRPr="007A48E8">
        <w:rPr>
          <w:rFonts w:ascii="Arial" w:hAnsi="Arial" w:cs="Arial"/>
          <w:sz w:val="32"/>
          <w:szCs w:val="32"/>
        </w:rPr>
        <w:t xml:space="preserve">The </w:t>
      </w:r>
      <w:r w:rsidR="006C6801" w:rsidRPr="007A48E8">
        <w:rPr>
          <w:rFonts w:ascii="Arial" w:hAnsi="Arial" w:cs="Arial"/>
          <w:sz w:val="32"/>
          <w:szCs w:val="32"/>
        </w:rPr>
        <w:t xml:space="preserve">successful </w:t>
      </w:r>
      <w:r w:rsidR="00FA3BE7" w:rsidRPr="007A48E8">
        <w:rPr>
          <w:rFonts w:ascii="Arial" w:hAnsi="Arial" w:cs="Arial"/>
          <w:sz w:val="32"/>
          <w:szCs w:val="32"/>
        </w:rPr>
        <w:t>completion</w:t>
      </w:r>
      <w:r w:rsidR="00665C4A" w:rsidRPr="007A48E8">
        <w:rPr>
          <w:rFonts w:ascii="Arial" w:hAnsi="Arial" w:cs="Arial"/>
          <w:sz w:val="32"/>
          <w:szCs w:val="32"/>
        </w:rPr>
        <w:t xml:space="preserve"> of </w:t>
      </w:r>
      <w:r w:rsidR="00FA3BE7" w:rsidRPr="007A48E8">
        <w:rPr>
          <w:rFonts w:ascii="Arial" w:hAnsi="Arial" w:cs="Arial"/>
          <w:sz w:val="32"/>
          <w:szCs w:val="32"/>
        </w:rPr>
        <w:t xml:space="preserve">the Atlantic LNG restructuring </w:t>
      </w:r>
      <w:r w:rsidR="006C6801" w:rsidRPr="007A48E8">
        <w:rPr>
          <w:rFonts w:ascii="Arial" w:hAnsi="Arial" w:cs="Arial"/>
          <w:sz w:val="32"/>
          <w:szCs w:val="32"/>
        </w:rPr>
        <w:t xml:space="preserve">effort </w:t>
      </w:r>
      <w:r w:rsidR="00FA3BE7" w:rsidRPr="007A48E8">
        <w:rPr>
          <w:rFonts w:ascii="Arial" w:hAnsi="Arial" w:cs="Arial"/>
          <w:sz w:val="32"/>
          <w:szCs w:val="32"/>
        </w:rPr>
        <w:t>will be critical for these projects.</w:t>
      </w:r>
      <w:r w:rsidR="00307BF2" w:rsidRPr="007A48E8">
        <w:rPr>
          <w:rFonts w:ascii="Arial" w:hAnsi="Arial" w:cs="Arial"/>
          <w:sz w:val="32"/>
          <w:szCs w:val="32"/>
        </w:rPr>
        <w:t xml:space="preserve"> </w:t>
      </w:r>
    </w:p>
    <w:p w:rsidR="006044BE" w:rsidRPr="007A48E8" w:rsidRDefault="006044BE" w:rsidP="00E5720D">
      <w:pPr>
        <w:spacing w:after="0" w:line="360" w:lineRule="auto"/>
        <w:jc w:val="both"/>
        <w:rPr>
          <w:rFonts w:ascii="Arial" w:hAnsi="Arial" w:cs="Arial"/>
          <w:sz w:val="32"/>
          <w:szCs w:val="32"/>
        </w:rPr>
      </w:pPr>
    </w:p>
    <w:p w:rsidR="00E5720D" w:rsidRPr="007A48E8" w:rsidRDefault="00307BF2" w:rsidP="00E5720D">
      <w:pPr>
        <w:spacing w:after="0" w:line="360" w:lineRule="auto"/>
        <w:jc w:val="both"/>
        <w:rPr>
          <w:rFonts w:ascii="Arial" w:hAnsi="Arial" w:cs="Arial"/>
          <w:sz w:val="32"/>
          <w:szCs w:val="32"/>
        </w:rPr>
      </w:pPr>
      <w:r w:rsidRPr="007A48E8">
        <w:rPr>
          <w:rFonts w:ascii="Arial" w:hAnsi="Arial" w:cs="Arial"/>
          <w:sz w:val="32"/>
          <w:szCs w:val="32"/>
        </w:rPr>
        <w:lastRenderedPageBreak/>
        <w:t>At present</w:t>
      </w:r>
      <w:r w:rsidR="004B5235" w:rsidRPr="007A48E8">
        <w:rPr>
          <w:rFonts w:ascii="Arial" w:hAnsi="Arial" w:cs="Arial"/>
          <w:sz w:val="32"/>
          <w:szCs w:val="32"/>
        </w:rPr>
        <w:t>,</w:t>
      </w:r>
      <w:r w:rsidRPr="007A48E8">
        <w:rPr>
          <w:rFonts w:ascii="Arial" w:hAnsi="Arial" w:cs="Arial"/>
          <w:sz w:val="32"/>
          <w:szCs w:val="32"/>
        </w:rPr>
        <w:t xml:space="preserve"> the draft Heads of Agreement</w:t>
      </w:r>
      <w:r w:rsidR="00726E93" w:rsidRPr="007A48E8">
        <w:rPr>
          <w:rFonts w:ascii="Arial" w:hAnsi="Arial" w:cs="Arial"/>
          <w:sz w:val="32"/>
          <w:szCs w:val="32"/>
        </w:rPr>
        <w:t xml:space="preserve"> (HOA)</w:t>
      </w:r>
      <w:r w:rsidRPr="007A48E8">
        <w:rPr>
          <w:rFonts w:ascii="Arial" w:hAnsi="Arial" w:cs="Arial"/>
          <w:sz w:val="32"/>
          <w:szCs w:val="32"/>
        </w:rPr>
        <w:t xml:space="preserve"> between Government and Atlantic Shareholders is being revi</w:t>
      </w:r>
      <w:r w:rsidR="00367D4E" w:rsidRPr="007A48E8">
        <w:rPr>
          <w:rFonts w:ascii="Arial" w:hAnsi="Arial" w:cs="Arial"/>
          <w:sz w:val="32"/>
          <w:szCs w:val="32"/>
        </w:rPr>
        <w:t>e</w:t>
      </w:r>
      <w:r w:rsidRPr="007A48E8">
        <w:rPr>
          <w:rFonts w:ascii="Arial" w:hAnsi="Arial" w:cs="Arial"/>
          <w:sz w:val="32"/>
          <w:szCs w:val="32"/>
        </w:rPr>
        <w:t xml:space="preserve">wed by the parties and is expected to be completed by December 2021. </w:t>
      </w:r>
      <w:r w:rsidRPr="007A48E8">
        <w:rPr>
          <w:rFonts w:ascii="Arial" w:eastAsia="Times New Roman" w:hAnsi="Arial" w:cs="Arial"/>
          <w:sz w:val="32"/>
          <w:szCs w:val="32"/>
          <w:lang w:eastAsia="en-GB"/>
        </w:rPr>
        <w:t>Negotiations on a Framework Agreement and Definitive Agreements will follo</w:t>
      </w:r>
      <w:r w:rsidR="00E10B37" w:rsidRPr="007A48E8">
        <w:rPr>
          <w:rFonts w:ascii="Arial" w:eastAsia="Times New Roman" w:hAnsi="Arial" w:cs="Arial"/>
          <w:sz w:val="32"/>
          <w:szCs w:val="32"/>
          <w:lang w:eastAsia="en-GB"/>
        </w:rPr>
        <w:t>w</w:t>
      </w:r>
      <w:r w:rsidRPr="007A48E8">
        <w:rPr>
          <w:rFonts w:ascii="Arial" w:eastAsia="Times New Roman" w:hAnsi="Arial" w:cs="Arial"/>
          <w:sz w:val="32"/>
          <w:szCs w:val="32"/>
          <w:lang w:eastAsia="en-GB"/>
        </w:rPr>
        <w:t xml:space="preserve"> the </w:t>
      </w:r>
      <w:r w:rsidR="007A48E8" w:rsidRPr="007A48E8">
        <w:rPr>
          <w:rFonts w:ascii="Arial" w:eastAsia="Times New Roman" w:hAnsi="Arial" w:cs="Arial"/>
          <w:sz w:val="32"/>
          <w:szCs w:val="32"/>
          <w:lang w:eastAsia="en-GB"/>
        </w:rPr>
        <w:t>HOA and</w:t>
      </w:r>
      <w:r w:rsidR="00E10B37" w:rsidRPr="007A48E8">
        <w:rPr>
          <w:rFonts w:ascii="Arial" w:eastAsia="Times New Roman" w:hAnsi="Arial" w:cs="Arial"/>
          <w:sz w:val="32"/>
          <w:szCs w:val="32"/>
          <w:lang w:eastAsia="en-GB"/>
        </w:rPr>
        <w:t xml:space="preserve"> are projected </w:t>
      </w:r>
      <w:r w:rsidRPr="007A48E8">
        <w:rPr>
          <w:rFonts w:ascii="Arial" w:eastAsia="Times New Roman" w:hAnsi="Arial" w:cs="Arial"/>
          <w:sz w:val="32"/>
          <w:szCs w:val="32"/>
          <w:lang w:eastAsia="en-GB"/>
        </w:rPr>
        <w:t>to be completed by June 2022.</w:t>
      </w:r>
      <w:r w:rsidR="00202DF5" w:rsidRPr="007A48E8">
        <w:rPr>
          <w:rFonts w:ascii="Arial" w:eastAsia="Times New Roman" w:hAnsi="Arial" w:cs="Arial"/>
          <w:sz w:val="32"/>
          <w:szCs w:val="32"/>
          <w:lang w:eastAsia="en-GB"/>
        </w:rPr>
        <w:t xml:space="preserve"> The restructuring of Atlantic LNG</w:t>
      </w:r>
      <w:r w:rsidR="00E5720D" w:rsidRPr="007A48E8">
        <w:rPr>
          <w:rFonts w:ascii="Arial" w:eastAsia="Times New Roman" w:hAnsi="Arial" w:cs="Arial"/>
          <w:sz w:val="32"/>
          <w:szCs w:val="32"/>
          <w:lang w:eastAsia="en-GB"/>
        </w:rPr>
        <w:t xml:space="preserve"> </w:t>
      </w:r>
      <w:r w:rsidR="00367D4E" w:rsidRPr="007A48E8">
        <w:rPr>
          <w:rFonts w:ascii="Arial" w:eastAsia="Times New Roman" w:hAnsi="Arial" w:cs="Arial"/>
          <w:sz w:val="32"/>
          <w:szCs w:val="32"/>
          <w:lang w:eastAsia="en-GB"/>
        </w:rPr>
        <w:t>is anticipated to</w:t>
      </w:r>
      <w:r w:rsidR="00F00066" w:rsidRPr="007A48E8">
        <w:rPr>
          <w:rFonts w:ascii="Arial" w:hAnsi="Arial" w:cs="Arial"/>
          <w:sz w:val="32"/>
          <w:szCs w:val="32"/>
        </w:rPr>
        <w:t xml:space="preserve"> bring the Trains</w:t>
      </w:r>
      <w:r w:rsidR="00E5720D" w:rsidRPr="007A48E8">
        <w:rPr>
          <w:rFonts w:ascii="Arial" w:hAnsi="Arial" w:cs="Arial"/>
          <w:sz w:val="32"/>
          <w:szCs w:val="32"/>
        </w:rPr>
        <w:t xml:space="preserve"> under the umbrella of a unified entity</w:t>
      </w:r>
      <w:r w:rsidR="004B5235" w:rsidRPr="007A48E8">
        <w:rPr>
          <w:rFonts w:ascii="Arial" w:hAnsi="Arial" w:cs="Arial"/>
          <w:sz w:val="32"/>
          <w:szCs w:val="32"/>
        </w:rPr>
        <w:t>,</w:t>
      </w:r>
      <w:r w:rsidR="00F00066" w:rsidRPr="007A48E8">
        <w:rPr>
          <w:rFonts w:ascii="Arial" w:hAnsi="Arial" w:cs="Arial"/>
          <w:sz w:val="32"/>
          <w:szCs w:val="32"/>
        </w:rPr>
        <w:t xml:space="preserve"> which </w:t>
      </w:r>
      <w:r w:rsidR="00E5720D" w:rsidRPr="007A48E8">
        <w:rPr>
          <w:rFonts w:ascii="Arial" w:hAnsi="Arial" w:cs="Arial"/>
          <w:sz w:val="32"/>
          <w:szCs w:val="32"/>
        </w:rPr>
        <w:t>will be a more efficient arrangement for management and operations of the</w:t>
      </w:r>
      <w:r w:rsidR="00367D4E" w:rsidRPr="007A48E8">
        <w:rPr>
          <w:rFonts w:ascii="Arial" w:hAnsi="Arial" w:cs="Arial"/>
          <w:sz w:val="32"/>
          <w:szCs w:val="32"/>
        </w:rPr>
        <w:t xml:space="preserve"> surviving</w:t>
      </w:r>
      <w:r w:rsidR="00E5720D" w:rsidRPr="007A48E8">
        <w:rPr>
          <w:rFonts w:ascii="Arial" w:hAnsi="Arial" w:cs="Arial"/>
          <w:sz w:val="32"/>
          <w:szCs w:val="32"/>
        </w:rPr>
        <w:t xml:space="preserve"> Trains. </w:t>
      </w:r>
      <w:r w:rsidR="00F00066" w:rsidRPr="007A48E8">
        <w:rPr>
          <w:rFonts w:ascii="Arial" w:hAnsi="Arial" w:cs="Arial"/>
          <w:sz w:val="32"/>
          <w:szCs w:val="32"/>
        </w:rPr>
        <w:t>Government will benefit through an increased shareholding in the unified entity and also</w:t>
      </w:r>
      <w:r w:rsidR="004C1257" w:rsidRPr="007A48E8">
        <w:rPr>
          <w:rFonts w:ascii="Arial" w:hAnsi="Arial" w:cs="Arial"/>
          <w:sz w:val="32"/>
          <w:szCs w:val="32"/>
        </w:rPr>
        <w:t xml:space="preserve"> from </w:t>
      </w:r>
      <w:r w:rsidR="007A48E8" w:rsidRPr="007A48E8">
        <w:rPr>
          <w:rFonts w:ascii="Arial" w:hAnsi="Arial" w:cs="Arial"/>
          <w:sz w:val="32"/>
          <w:szCs w:val="32"/>
        </w:rPr>
        <w:t xml:space="preserve">the </w:t>
      </w:r>
      <w:bookmarkStart w:id="0" w:name="_GoBack"/>
      <w:bookmarkEnd w:id="0"/>
      <w:r w:rsidR="007A48E8" w:rsidRPr="007A48E8">
        <w:rPr>
          <w:rFonts w:ascii="Arial" w:hAnsi="Arial" w:cs="Arial"/>
          <w:sz w:val="32"/>
          <w:szCs w:val="32"/>
        </w:rPr>
        <w:t>improved netback</w:t>
      </w:r>
      <w:r w:rsidR="00F00066" w:rsidRPr="007A48E8">
        <w:rPr>
          <w:rFonts w:ascii="Arial" w:hAnsi="Arial" w:cs="Arial"/>
          <w:sz w:val="32"/>
          <w:szCs w:val="32"/>
        </w:rPr>
        <w:t xml:space="preserve"> to the upstream companies</w:t>
      </w:r>
      <w:r w:rsidR="004C1257" w:rsidRPr="007A48E8">
        <w:rPr>
          <w:rFonts w:ascii="Arial" w:hAnsi="Arial" w:cs="Arial"/>
          <w:sz w:val="32"/>
          <w:szCs w:val="32"/>
        </w:rPr>
        <w:t xml:space="preserve"> resulting from new marketing arrangements.</w:t>
      </w:r>
    </w:p>
    <w:p w:rsidR="00307BF2" w:rsidRPr="007A48E8" w:rsidRDefault="00307BF2" w:rsidP="00307BF2">
      <w:pPr>
        <w:spacing w:line="360" w:lineRule="auto"/>
        <w:jc w:val="both"/>
        <w:rPr>
          <w:rFonts w:ascii="Arial" w:eastAsia="Times New Roman" w:hAnsi="Arial" w:cs="Arial"/>
          <w:sz w:val="32"/>
          <w:szCs w:val="32"/>
          <w:lang w:eastAsia="en-GB"/>
        </w:rPr>
      </w:pPr>
    </w:p>
    <w:p w:rsidR="006262C9" w:rsidRPr="007A48E8" w:rsidRDefault="00D43746" w:rsidP="000D37F6">
      <w:pPr>
        <w:spacing w:line="360" w:lineRule="auto"/>
        <w:jc w:val="both"/>
        <w:rPr>
          <w:rFonts w:ascii="Arial" w:eastAsia="Times New Roman" w:hAnsi="Arial" w:cs="Arial"/>
          <w:sz w:val="32"/>
          <w:szCs w:val="32"/>
          <w:lang w:eastAsia="en-GB"/>
        </w:rPr>
      </w:pPr>
      <w:r w:rsidRPr="007A48E8">
        <w:rPr>
          <w:rFonts w:ascii="Arial" w:eastAsia="Times New Roman" w:hAnsi="Arial" w:cs="Arial"/>
          <w:sz w:val="32"/>
          <w:szCs w:val="32"/>
          <w:lang w:eastAsia="en-GB"/>
        </w:rPr>
        <w:t xml:space="preserve">While the energy sector will continue to be the mainstay of the economy of Trinidad and Tobago we are mindful of the need to transition to a low carbon economy. </w:t>
      </w:r>
      <w:r w:rsidR="00200E16" w:rsidRPr="007A48E8">
        <w:rPr>
          <w:rFonts w:ascii="Arial" w:eastAsia="Times New Roman" w:hAnsi="Arial" w:cs="Arial"/>
          <w:sz w:val="32"/>
          <w:szCs w:val="32"/>
          <w:lang w:eastAsia="en-GB"/>
        </w:rPr>
        <w:t xml:space="preserve">It is a journey that we intend to pursue and in alignment with goals and objectives of our energy stakeholders. As a </w:t>
      </w:r>
      <w:r w:rsidR="004C1257" w:rsidRPr="007A48E8">
        <w:rPr>
          <w:rFonts w:ascii="Arial" w:eastAsia="Times New Roman" w:hAnsi="Arial" w:cs="Arial"/>
          <w:sz w:val="32"/>
          <w:szCs w:val="32"/>
          <w:lang w:eastAsia="en-GB"/>
        </w:rPr>
        <w:t>valued</w:t>
      </w:r>
      <w:r w:rsidR="00200E16" w:rsidRPr="007A48E8">
        <w:rPr>
          <w:rFonts w:ascii="Arial" w:eastAsia="Times New Roman" w:hAnsi="Arial" w:cs="Arial"/>
          <w:sz w:val="32"/>
          <w:szCs w:val="32"/>
          <w:lang w:eastAsia="en-GB"/>
        </w:rPr>
        <w:t xml:space="preserve"> stakeholder, the Government looks forward to the collaboration with Shell </w:t>
      </w:r>
      <w:r w:rsidR="00E11956" w:rsidRPr="007A48E8">
        <w:rPr>
          <w:rFonts w:ascii="Arial" w:eastAsia="Times New Roman" w:hAnsi="Arial" w:cs="Arial"/>
          <w:sz w:val="32"/>
          <w:szCs w:val="32"/>
          <w:lang w:eastAsia="en-GB"/>
        </w:rPr>
        <w:t xml:space="preserve">and all others </w:t>
      </w:r>
      <w:r w:rsidR="00200E16" w:rsidRPr="007A48E8">
        <w:rPr>
          <w:rFonts w:ascii="Arial" w:eastAsia="Times New Roman" w:hAnsi="Arial" w:cs="Arial"/>
          <w:sz w:val="32"/>
          <w:szCs w:val="32"/>
          <w:lang w:eastAsia="en-GB"/>
        </w:rPr>
        <w:t xml:space="preserve">on </w:t>
      </w:r>
      <w:r w:rsidR="000D37F6" w:rsidRPr="007A48E8">
        <w:rPr>
          <w:rFonts w:ascii="Arial" w:eastAsia="Times New Roman" w:hAnsi="Arial" w:cs="Arial"/>
          <w:sz w:val="32"/>
          <w:szCs w:val="32"/>
          <w:lang w:eastAsia="en-GB"/>
        </w:rPr>
        <w:t>the country’s energy transition.</w:t>
      </w:r>
    </w:p>
    <w:p w:rsidR="004E44A1" w:rsidRPr="007A48E8" w:rsidRDefault="00696CAD" w:rsidP="005A532B">
      <w:pPr>
        <w:spacing w:after="0" w:line="360" w:lineRule="auto"/>
        <w:jc w:val="both"/>
        <w:rPr>
          <w:rFonts w:ascii="Arial" w:hAnsi="Arial" w:cs="Arial"/>
          <w:sz w:val="32"/>
          <w:szCs w:val="32"/>
        </w:rPr>
      </w:pPr>
      <w:r w:rsidRPr="007A48E8">
        <w:rPr>
          <w:rFonts w:ascii="Arial" w:hAnsi="Arial" w:cs="Arial"/>
          <w:sz w:val="32"/>
          <w:szCs w:val="32"/>
        </w:rPr>
        <w:t xml:space="preserve"> </w:t>
      </w:r>
      <w:r w:rsidR="00E13C92" w:rsidRPr="007A48E8">
        <w:rPr>
          <w:rFonts w:ascii="Arial" w:hAnsi="Arial" w:cs="Arial"/>
          <w:sz w:val="32"/>
          <w:szCs w:val="32"/>
        </w:rPr>
        <w:t xml:space="preserve">In closing, </w:t>
      </w:r>
      <w:r w:rsidR="008921C6" w:rsidRPr="007A48E8">
        <w:rPr>
          <w:rFonts w:ascii="Arial" w:hAnsi="Arial" w:cs="Arial"/>
          <w:sz w:val="32"/>
          <w:szCs w:val="32"/>
        </w:rPr>
        <w:t>I wish to re-</w:t>
      </w:r>
      <w:r w:rsidR="00E11956" w:rsidRPr="007A48E8">
        <w:rPr>
          <w:rFonts w:ascii="Arial" w:hAnsi="Arial" w:cs="Arial"/>
          <w:sz w:val="32"/>
          <w:szCs w:val="32"/>
        </w:rPr>
        <w:t>emphasize our hearty</w:t>
      </w:r>
      <w:r w:rsidR="008921C6" w:rsidRPr="007A48E8">
        <w:rPr>
          <w:rFonts w:ascii="Arial" w:hAnsi="Arial" w:cs="Arial"/>
          <w:sz w:val="32"/>
          <w:szCs w:val="32"/>
        </w:rPr>
        <w:t xml:space="preserve"> congratulations to both the Ministry</w:t>
      </w:r>
      <w:r w:rsidR="00E11956" w:rsidRPr="007A48E8">
        <w:rPr>
          <w:rFonts w:ascii="Arial" w:hAnsi="Arial" w:cs="Arial"/>
          <w:sz w:val="32"/>
          <w:szCs w:val="32"/>
        </w:rPr>
        <w:t xml:space="preserve"> of Energy </w:t>
      </w:r>
      <w:r w:rsidR="008921C6" w:rsidRPr="007A48E8">
        <w:rPr>
          <w:rFonts w:ascii="Arial" w:hAnsi="Arial" w:cs="Arial"/>
          <w:sz w:val="32"/>
          <w:szCs w:val="32"/>
        </w:rPr>
        <w:t xml:space="preserve">and Shell’s negotiating teams </w:t>
      </w:r>
      <w:r w:rsidR="0068229D" w:rsidRPr="007A48E8">
        <w:rPr>
          <w:rFonts w:ascii="Arial" w:hAnsi="Arial" w:cs="Arial"/>
          <w:sz w:val="32"/>
          <w:szCs w:val="32"/>
        </w:rPr>
        <w:t xml:space="preserve">for their </w:t>
      </w:r>
      <w:r w:rsidR="004B5235" w:rsidRPr="007A48E8">
        <w:rPr>
          <w:rFonts w:ascii="Arial" w:hAnsi="Arial" w:cs="Arial"/>
          <w:sz w:val="32"/>
          <w:szCs w:val="32"/>
        </w:rPr>
        <w:t>excellent</w:t>
      </w:r>
      <w:r w:rsidR="001A255B" w:rsidRPr="007A48E8">
        <w:rPr>
          <w:rFonts w:ascii="Arial" w:hAnsi="Arial" w:cs="Arial"/>
          <w:sz w:val="32"/>
          <w:szCs w:val="32"/>
        </w:rPr>
        <w:t xml:space="preserve"> work </w:t>
      </w:r>
      <w:r w:rsidR="008921C6" w:rsidRPr="007A48E8">
        <w:rPr>
          <w:rFonts w:ascii="Arial" w:hAnsi="Arial" w:cs="Arial"/>
          <w:sz w:val="32"/>
          <w:szCs w:val="32"/>
        </w:rPr>
        <w:t xml:space="preserve">which resulted in the signing today of a Manatee </w:t>
      </w:r>
      <w:r w:rsidR="008921C6" w:rsidRPr="007A48E8">
        <w:rPr>
          <w:rFonts w:ascii="Arial" w:hAnsi="Arial" w:cs="Arial"/>
          <w:sz w:val="32"/>
          <w:szCs w:val="32"/>
        </w:rPr>
        <w:lastRenderedPageBreak/>
        <w:t xml:space="preserve">Production Sharing Contract and Associated Agreement between Ministry of Energy and Energy Industries acting on behalf of  </w:t>
      </w:r>
      <w:r w:rsidR="004B5235" w:rsidRPr="007A48E8">
        <w:rPr>
          <w:rFonts w:ascii="Arial" w:hAnsi="Arial" w:cs="Arial"/>
          <w:sz w:val="32"/>
          <w:szCs w:val="32"/>
        </w:rPr>
        <w:t xml:space="preserve"> the </w:t>
      </w:r>
      <w:r w:rsidR="008921C6" w:rsidRPr="007A48E8">
        <w:rPr>
          <w:rFonts w:ascii="Arial" w:hAnsi="Arial" w:cs="Arial"/>
          <w:sz w:val="32"/>
          <w:szCs w:val="32"/>
        </w:rPr>
        <w:t>Government</w:t>
      </w:r>
      <w:r w:rsidR="004B5235" w:rsidRPr="007A48E8">
        <w:rPr>
          <w:rFonts w:ascii="Arial" w:hAnsi="Arial" w:cs="Arial"/>
          <w:sz w:val="32"/>
          <w:szCs w:val="32"/>
        </w:rPr>
        <w:t xml:space="preserve"> of the Republic of Trinidad and Tobago</w:t>
      </w:r>
      <w:r w:rsidR="008921C6" w:rsidRPr="007A48E8">
        <w:rPr>
          <w:rFonts w:ascii="Arial" w:hAnsi="Arial" w:cs="Arial"/>
          <w:sz w:val="32"/>
          <w:szCs w:val="32"/>
        </w:rPr>
        <w:t xml:space="preserve"> and Shell.</w:t>
      </w:r>
    </w:p>
    <w:p w:rsidR="00815EE9" w:rsidRPr="007A48E8" w:rsidRDefault="00815EE9" w:rsidP="00815EE9">
      <w:pPr>
        <w:shd w:val="clear" w:color="auto" w:fill="FFFFFF"/>
        <w:spacing w:after="0" w:line="360" w:lineRule="auto"/>
        <w:jc w:val="both"/>
        <w:rPr>
          <w:rFonts w:ascii="Arial" w:hAnsi="Arial" w:cs="Arial"/>
          <w:sz w:val="32"/>
          <w:szCs w:val="32"/>
        </w:rPr>
      </w:pPr>
    </w:p>
    <w:p w:rsidR="00CC7D4A" w:rsidRPr="007A48E8" w:rsidRDefault="005E6034" w:rsidP="00815EE9">
      <w:pPr>
        <w:shd w:val="clear" w:color="auto" w:fill="FFFFFF"/>
        <w:spacing w:after="0" w:line="360" w:lineRule="auto"/>
        <w:jc w:val="both"/>
        <w:rPr>
          <w:rFonts w:ascii="Arial" w:hAnsi="Arial" w:cs="Arial"/>
          <w:sz w:val="32"/>
          <w:szCs w:val="32"/>
        </w:rPr>
      </w:pPr>
      <w:r w:rsidRPr="007A48E8">
        <w:rPr>
          <w:rFonts w:ascii="Arial" w:hAnsi="Arial" w:cs="Arial"/>
          <w:sz w:val="32"/>
          <w:szCs w:val="32"/>
        </w:rPr>
        <w:t>I thank you</w:t>
      </w:r>
      <w:r w:rsidR="004B5235" w:rsidRPr="007A48E8">
        <w:rPr>
          <w:rFonts w:ascii="Arial" w:hAnsi="Arial" w:cs="Arial"/>
          <w:sz w:val="32"/>
          <w:szCs w:val="32"/>
        </w:rPr>
        <w:t>.</w:t>
      </w:r>
    </w:p>
    <w:p w:rsidR="005E6034" w:rsidRPr="007A48E8" w:rsidRDefault="005E6034" w:rsidP="00815EE9">
      <w:pPr>
        <w:shd w:val="clear" w:color="auto" w:fill="FFFFFF"/>
        <w:spacing w:after="0" w:line="360" w:lineRule="auto"/>
        <w:jc w:val="both"/>
        <w:rPr>
          <w:rFonts w:ascii="Arial" w:hAnsi="Arial" w:cs="Arial"/>
          <w:sz w:val="32"/>
          <w:szCs w:val="32"/>
        </w:rPr>
      </w:pPr>
    </w:p>
    <w:p w:rsidR="0010445E" w:rsidRPr="007A48E8" w:rsidRDefault="0010445E" w:rsidP="00815EE9">
      <w:pPr>
        <w:pStyle w:val="BodyText"/>
        <w:tabs>
          <w:tab w:val="left" w:pos="720"/>
        </w:tabs>
        <w:spacing w:after="0" w:line="360" w:lineRule="auto"/>
        <w:ind w:right="100"/>
        <w:jc w:val="both"/>
        <w:rPr>
          <w:rFonts w:ascii="Arial" w:hAnsi="Arial" w:cs="Arial"/>
          <w:sz w:val="32"/>
          <w:szCs w:val="32"/>
        </w:rPr>
      </w:pPr>
    </w:p>
    <w:sectPr w:rsidR="0010445E" w:rsidRPr="007A48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3F" w:rsidRDefault="001A193F" w:rsidP="00CE75F4">
      <w:pPr>
        <w:spacing w:after="0" w:line="240" w:lineRule="auto"/>
      </w:pPr>
      <w:r>
        <w:separator/>
      </w:r>
    </w:p>
  </w:endnote>
  <w:endnote w:type="continuationSeparator" w:id="0">
    <w:p w:rsidR="001A193F" w:rsidRDefault="001A193F" w:rsidP="00CE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85475"/>
      <w:docPartObj>
        <w:docPartGallery w:val="Page Numbers (Bottom of Page)"/>
        <w:docPartUnique/>
      </w:docPartObj>
    </w:sdtPr>
    <w:sdtEndPr>
      <w:rPr>
        <w:noProof/>
      </w:rPr>
    </w:sdtEndPr>
    <w:sdtContent>
      <w:p w:rsidR="00CE75F4" w:rsidRDefault="00CE75F4">
        <w:pPr>
          <w:pStyle w:val="Footer"/>
          <w:jc w:val="right"/>
        </w:pPr>
        <w:r>
          <w:fldChar w:fldCharType="begin"/>
        </w:r>
        <w:r>
          <w:instrText xml:space="preserve"> PAGE   \* MERGEFORMAT </w:instrText>
        </w:r>
        <w:r>
          <w:fldChar w:fldCharType="separate"/>
        </w:r>
        <w:r w:rsidR="00CF1D8C">
          <w:rPr>
            <w:noProof/>
          </w:rPr>
          <w:t>10</w:t>
        </w:r>
        <w:r>
          <w:rPr>
            <w:noProof/>
          </w:rPr>
          <w:fldChar w:fldCharType="end"/>
        </w:r>
      </w:p>
    </w:sdtContent>
  </w:sdt>
  <w:p w:rsidR="00CE75F4" w:rsidRDefault="00CE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3F" w:rsidRDefault="001A193F" w:rsidP="00CE75F4">
      <w:pPr>
        <w:spacing w:after="0" w:line="240" w:lineRule="auto"/>
      </w:pPr>
      <w:r>
        <w:separator/>
      </w:r>
    </w:p>
  </w:footnote>
  <w:footnote w:type="continuationSeparator" w:id="0">
    <w:p w:rsidR="001A193F" w:rsidRDefault="001A193F" w:rsidP="00CE7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A3"/>
    <w:rsid w:val="00022CF8"/>
    <w:rsid w:val="00042D11"/>
    <w:rsid w:val="00056D36"/>
    <w:rsid w:val="000610B8"/>
    <w:rsid w:val="000C05ED"/>
    <w:rsid w:val="000D37F6"/>
    <w:rsid w:val="0010445E"/>
    <w:rsid w:val="00146EC0"/>
    <w:rsid w:val="001A193F"/>
    <w:rsid w:val="001A255B"/>
    <w:rsid w:val="001C34BD"/>
    <w:rsid w:val="001E3B34"/>
    <w:rsid w:val="00200E16"/>
    <w:rsid w:val="00202DF5"/>
    <w:rsid w:val="00210BDD"/>
    <w:rsid w:val="00232300"/>
    <w:rsid w:val="002334E4"/>
    <w:rsid w:val="002705EE"/>
    <w:rsid w:val="00271D42"/>
    <w:rsid w:val="00280247"/>
    <w:rsid w:val="002D390F"/>
    <w:rsid w:val="00307BF2"/>
    <w:rsid w:val="0032435B"/>
    <w:rsid w:val="00335570"/>
    <w:rsid w:val="00367D4E"/>
    <w:rsid w:val="00371A42"/>
    <w:rsid w:val="00373B1B"/>
    <w:rsid w:val="00380C1E"/>
    <w:rsid w:val="00394BE3"/>
    <w:rsid w:val="003A67A3"/>
    <w:rsid w:val="003B0931"/>
    <w:rsid w:val="003C589A"/>
    <w:rsid w:val="003F4050"/>
    <w:rsid w:val="003F6F45"/>
    <w:rsid w:val="00402D3E"/>
    <w:rsid w:val="00436394"/>
    <w:rsid w:val="00442B45"/>
    <w:rsid w:val="00462D44"/>
    <w:rsid w:val="00463A55"/>
    <w:rsid w:val="00477380"/>
    <w:rsid w:val="00477A88"/>
    <w:rsid w:val="00485333"/>
    <w:rsid w:val="004A3B74"/>
    <w:rsid w:val="004B248C"/>
    <w:rsid w:val="004B5235"/>
    <w:rsid w:val="004C1257"/>
    <w:rsid w:val="004E3EF8"/>
    <w:rsid w:val="004E44A1"/>
    <w:rsid w:val="00507E2A"/>
    <w:rsid w:val="00551A6E"/>
    <w:rsid w:val="00553AB7"/>
    <w:rsid w:val="00564B95"/>
    <w:rsid w:val="00572AA9"/>
    <w:rsid w:val="005910BA"/>
    <w:rsid w:val="00594010"/>
    <w:rsid w:val="00595A55"/>
    <w:rsid w:val="005A0087"/>
    <w:rsid w:val="005A532B"/>
    <w:rsid w:val="005E6034"/>
    <w:rsid w:val="006044BE"/>
    <w:rsid w:val="00616688"/>
    <w:rsid w:val="00620C09"/>
    <w:rsid w:val="00623708"/>
    <w:rsid w:val="00623D2C"/>
    <w:rsid w:val="006257F0"/>
    <w:rsid w:val="006262C9"/>
    <w:rsid w:val="00626E34"/>
    <w:rsid w:val="00665C4A"/>
    <w:rsid w:val="006718D9"/>
    <w:rsid w:val="0068229D"/>
    <w:rsid w:val="00693D80"/>
    <w:rsid w:val="00696CAD"/>
    <w:rsid w:val="00697558"/>
    <w:rsid w:val="006C67FE"/>
    <w:rsid w:val="006C6801"/>
    <w:rsid w:val="006C7A30"/>
    <w:rsid w:val="006C7DD5"/>
    <w:rsid w:val="006F2083"/>
    <w:rsid w:val="006F4CDC"/>
    <w:rsid w:val="00726E93"/>
    <w:rsid w:val="00764FE8"/>
    <w:rsid w:val="007A48E8"/>
    <w:rsid w:val="007B7C2F"/>
    <w:rsid w:val="007C7553"/>
    <w:rsid w:val="00813567"/>
    <w:rsid w:val="00815EE9"/>
    <w:rsid w:val="0082350B"/>
    <w:rsid w:val="008551B3"/>
    <w:rsid w:val="008921C6"/>
    <w:rsid w:val="008C3FC9"/>
    <w:rsid w:val="008F10CC"/>
    <w:rsid w:val="00924E57"/>
    <w:rsid w:val="00952526"/>
    <w:rsid w:val="0095469E"/>
    <w:rsid w:val="00992D8A"/>
    <w:rsid w:val="0099473D"/>
    <w:rsid w:val="00994ED2"/>
    <w:rsid w:val="009A0690"/>
    <w:rsid w:val="009F0E7A"/>
    <w:rsid w:val="00A32E72"/>
    <w:rsid w:val="00A73763"/>
    <w:rsid w:val="00A87F7E"/>
    <w:rsid w:val="00AA560D"/>
    <w:rsid w:val="00AB5983"/>
    <w:rsid w:val="00AD3CE1"/>
    <w:rsid w:val="00AD6F5E"/>
    <w:rsid w:val="00AF2712"/>
    <w:rsid w:val="00B11231"/>
    <w:rsid w:val="00B1192D"/>
    <w:rsid w:val="00B178B7"/>
    <w:rsid w:val="00B82B7F"/>
    <w:rsid w:val="00B837ED"/>
    <w:rsid w:val="00B86DF8"/>
    <w:rsid w:val="00B93EE3"/>
    <w:rsid w:val="00BF5E17"/>
    <w:rsid w:val="00C05711"/>
    <w:rsid w:val="00C16030"/>
    <w:rsid w:val="00C402DA"/>
    <w:rsid w:val="00C47232"/>
    <w:rsid w:val="00C575BC"/>
    <w:rsid w:val="00C65178"/>
    <w:rsid w:val="00C701CA"/>
    <w:rsid w:val="00CC1145"/>
    <w:rsid w:val="00CC7D4A"/>
    <w:rsid w:val="00CE6CFE"/>
    <w:rsid w:val="00CE75F4"/>
    <w:rsid w:val="00CF1D8C"/>
    <w:rsid w:val="00D0641D"/>
    <w:rsid w:val="00D14EC7"/>
    <w:rsid w:val="00D25903"/>
    <w:rsid w:val="00D31A17"/>
    <w:rsid w:val="00D369C5"/>
    <w:rsid w:val="00D43746"/>
    <w:rsid w:val="00D47EB3"/>
    <w:rsid w:val="00D51A33"/>
    <w:rsid w:val="00D65648"/>
    <w:rsid w:val="00D70344"/>
    <w:rsid w:val="00D76B7F"/>
    <w:rsid w:val="00D83458"/>
    <w:rsid w:val="00D83EE9"/>
    <w:rsid w:val="00D96253"/>
    <w:rsid w:val="00DC2F56"/>
    <w:rsid w:val="00DF5F3D"/>
    <w:rsid w:val="00E01857"/>
    <w:rsid w:val="00E10B37"/>
    <w:rsid w:val="00E11956"/>
    <w:rsid w:val="00E13C92"/>
    <w:rsid w:val="00E17AC0"/>
    <w:rsid w:val="00E17BF9"/>
    <w:rsid w:val="00E440D8"/>
    <w:rsid w:val="00E53DA5"/>
    <w:rsid w:val="00E5720D"/>
    <w:rsid w:val="00EA04D5"/>
    <w:rsid w:val="00EA15D4"/>
    <w:rsid w:val="00EE13CA"/>
    <w:rsid w:val="00EE1C56"/>
    <w:rsid w:val="00EE4823"/>
    <w:rsid w:val="00EF2C38"/>
    <w:rsid w:val="00F00066"/>
    <w:rsid w:val="00F06323"/>
    <w:rsid w:val="00F25C06"/>
    <w:rsid w:val="00F53E66"/>
    <w:rsid w:val="00F541AC"/>
    <w:rsid w:val="00F74299"/>
    <w:rsid w:val="00FA3BE7"/>
    <w:rsid w:val="00FB3224"/>
    <w:rsid w:val="00FC35D5"/>
    <w:rsid w:val="00FD3DED"/>
    <w:rsid w:val="00FF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15EE9"/>
    <w:pPr>
      <w:spacing w:after="120"/>
    </w:pPr>
  </w:style>
  <w:style w:type="character" w:customStyle="1" w:styleId="BodyTextChar">
    <w:name w:val="Body Text Char"/>
    <w:basedOn w:val="DefaultParagraphFont"/>
    <w:link w:val="BodyText"/>
    <w:uiPriority w:val="99"/>
    <w:rsid w:val="00815EE9"/>
  </w:style>
  <w:style w:type="paragraph" w:styleId="Header">
    <w:name w:val="header"/>
    <w:basedOn w:val="Normal"/>
    <w:link w:val="HeaderChar"/>
    <w:uiPriority w:val="99"/>
    <w:unhideWhenUsed/>
    <w:rsid w:val="00CE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F4"/>
  </w:style>
  <w:style w:type="paragraph" w:styleId="Footer">
    <w:name w:val="footer"/>
    <w:basedOn w:val="Normal"/>
    <w:link w:val="FooterChar"/>
    <w:uiPriority w:val="99"/>
    <w:unhideWhenUsed/>
    <w:rsid w:val="00CE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F4"/>
  </w:style>
  <w:style w:type="paragraph" w:styleId="NormalWeb">
    <w:name w:val="Normal (Web)"/>
    <w:basedOn w:val="Normal"/>
    <w:uiPriority w:val="99"/>
    <w:semiHidden/>
    <w:unhideWhenUsed/>
    <w:rsid w:val="00F53E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15EE9"/>
    <w:pPr>
      <w:spacing w:after="120"/>
    </w:pPr>
  </w:style>
  <w:style w:type="character" w:customStyle="1" w:styleId="BodyTextChar">
    <w:name w:val="Body Text Char"/>
    <w:basedOn w:val="DefaultParagraphFont"/>
    <w:link w:val="BodyText"/>
    <w:uiPriority w:val="99"/>
    <w:rsid w:val="00815EE9"/>
  </w:style>
  <w:style w:type="paragraph" w:styleId="Header">
    <w:name w:val="header"/>
    <w:basedOn w:val="Normal"/>
    <w:link w:val="HeaderChar"/>
    <w:uiPriority w:val="99"/>
    <w:unhideWhenUsed/>
    <w:rsid w:val="00CE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F4"/>
  </w:style>
  <w:style w:type="paragraph" w:styleId="Footer">
    <w:name w:val="footer"/>
    <w:basedOn w:val="Normal"/>
    <w:link w:val="FooterChar"/>
    <w:uiPriority w:val="99"/>
    <w:unhideWhenUsed/>
    <w:rsid w:val="00CE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F4"/>
  </w:style>
  <w:style w:type="paragraph" w:styleId="NormalWeb">
    <w:name w:val="Normal (Web)"/>
    <w:basedOn w:val="Normal"/>
    <w:uiPriority w:val="99"/>
    <w:semiHidden/>
    <w:unhideWhenUsed/>
    <w:rsid w:val="00F53E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4348">
      <w:bodyDiv w:val="1"/>
      <w:marLeft w:val="0"/>
      <w:marRight w:val="0"/>
      <w:marTop w:val="0"/>
      <w:marBottom w:val="0"/>
      <w:divBdr>
        <w:top w:val="none" w:sz="0" w:space="0" w:color="auto"/>
        <w:left w:val="none" w:sz="0" w:space="0" w:color="auto"/>
        <w:bottom w:val="none" w:sz="0" w:space="0" w:color="auto"/>
        <w:right w:val="none" w:sz="0" w:space="0" w:color="auto"/>
      </w:divBdr>
    </w:div>
    <w:div w:id="915435542">
      <w:bodyDiv w:val="1"/>
      <w:marLeft w:val="0"/>
      <w:marRight w:val="0"/>
      <w:marTop w:val="0"/>
      <w:marBottom w:val="0"/>
      <w:divBdr>
        <w:top w:val="none" w:sz="0" w:space="0" w:color="auto"/>
        <w:left w:val="none" w:sz="0" w:space="0" w:color="auto"/>
        <w:bottom w:val="none" w:sz="0" w:space="0" w:color="auto"/>
        <w:right w:val="none" w:sz="0" w:space="0" w:color="auto"/>
      </w:divBdr>
    </w:div>
    <w:div w:id="20690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MEEI</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Mayers</dc:creator>
  <cp:lastModifiedBy>isuser</cp:lastModifiedBy>
  <cp:revision>2</cp:revision>
  <cp:lastPrinted>2021-11-16T20:32:00Z</cp:lastPrinted>
  <dcterms:created xsi:type="dcterms:W3CDTF">2021-11-16T20:35:00Z</dcterms:created>
  <dcterms:modified xsi:type="dcterms:W3CDTF">2021-11-16T20:35:00Z</dcterms:modified>
</cp:coreProperties>
</file>